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page">
              <wp:align>right</wp:align>
            </wp:positionH>
            <wp:positionV relativeFrom="paragraph">
              <wp:posOffset>0</wp:posOffset>
            </wp:positionV>
            <wp:extent cx="681355" cy="864870"/>
            <wp:effectExtent l="0" t="0" r="4445" b="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5" cstate="print"/>
                    <a:srcRect/>
                    <a:stretch>
                      <a:fillRect/>
                    </a:stretch>
                  </pic:blipFill>
                  <pic:spPr bwMode="auto">
                    <a:xfrm>
                      <a:off x="0" y="0"/>
                      <a:ext cx="681355" cy="86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4789C7D4" wp14:editId="0BC3FAA4">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7F39"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EF5579">
        <w:rPr>
          <w:rFonts w:ascii="Copperplate Gothic Bold" w:hAnsi="Copperplate Gothic Bold"/>
          <w:i/>
        </w:rPr>
        <w:t>Ju</w:t>
      </w:r>
      <w:r w:rsidR="00EB4272">
        <w:rPr>
          <w:rFonts w:ascii="Copperplate Gothic Bold" w:hAnsi="Copperplate Gothic Bold"/>
          <w:i/>
        </w:rPr>
        <w:t>ly</w:t>
      </w:r>
      <w:r w:rsidR="00C44A5C">
        <w:rPr>
          <w:rFonts w:ascii="Copperplate Gothic Bold" w:hAnsi="Copperplate Gothic Bold"/>
          <w:i/>
        </w:rPr>
        <w:t>-August</w:t>
      </w:r>
      <w:r w:rsidR="003C450F">
        <w:rPr>
          <w:rFonts w:ascii="Copperplate Gothic Bold" w:hAnsi="Copperplate Gothic Bold"/>
          <w:i/>
        </w:rPr>
        <w:t xml:space="preserve"> </w:t>
      </w:r>
      <w:r w:rsidR="005B43D3">
        <w:rPr>
          <w:rFonts w:ascii="Copperplate Gothic Bold" w:hAnsi="Copperplate Gothic Bold"/>
          <w:i/>
        </w:rPr>
        <w:t>201</w:t>
      </w:r>
      <w:r w:rsidR="009A64DF">
        <w:rPr>
          <w:rFonts w:ascii="Copperplate Gothic Bold" w:hAnsi="Copperplate Gothic Bold"/>
          <w:i/>
        </w:rPr>
        <w:t>6</w:t>
      </w:r>
    </w:p>
    <w:p w:rsidR="00F30325" w:rsidRPr="00F30325" w:rsidRDefault="002B5FDE"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6E8D75B" wp14:editId="0D9AA457">
                <wp:simplePos x="0" y="0"/>
                <wp:positionH relativeFrom="margin">
                  <wp:align>left</wp:align>
                </wp:positionH>
                <wp:positionV relativeFrom="paragraph">
                  <wp:posOffset>33020</wp:posOffset>
                </wp:positionV>
                <wp:extent cx="6753225" cy="3590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590925"/>
                        </a:xfrm>
                        <a:prstGeom prst="rect">
                          <a:avLst/>
                        </a:prstGeom>
                        <a:solidFill>
                          <a:srgbClr val="FFFFFF"/>
                        </a:solidFill>
                        <a:ln w="9525">
                          <a:noFill/>
                          <a:miter lim="800000"/>
                          <a:headEnd/>
                          <a:tailEnd/>
                        </a:ln>
                      </wps:spPr>
                      <wps:txbx>
                        <w:txbxContent>
                          <w:p w:rsidR="006A48F0" w:rsidRPr="00BB36CF" w:rsidRDefault="006A48F0" w:rsidP="006A48F0">
                            <w:pPr>
                              <w:widowControl w:val="0"/>
                              <w:jc w:val="center"/>
                              <w:rPr>
                                <w:rFonts w:ascii="Verdana" w:hAnsi="Verdana"/>
                                <w:b/>
                                <w:bCs/>
                                <w:sz w:val="28"/>
                                <w:szCs w:val="28"/>
                              </w:rPr>
                            </w:pPr>
                            <w:r w:rsidRPr="00BB36CF">
                              <w:rPr>
                                <w:rFonts w:ascii="Verdana" w:hAnsi="Verdana"/>
                                <w:b/>
                                <w:bCs/>
                                <w:sz w:val="28"/>
                                <w:szCs w:val="28"/>
                              </w:rPr>
                              <w:t xml:space="preserve">Two Different Versions of GCCR’s Might Have Been </w:t>
                            </w:r>
                            <w:proofErr w:type="gramStart"/>
                            <w:r w:rsidRPr="00BB36CF">
                              <w:rPr>
                                <w:rFonts w:ascii="Verdana" w:hAnsi="Verdana"/>
                                <w:b/>
                                <w:bCs/>
                                <w:sz w:val="28"/>
                                <w:szCs w:val="28"/>
                              </w:rPr>
                              <w:t xml:space="preserve">Generated </w:t>
                            </w:r>
                            <w:r w:rsidR="00567B65">
                              <w:rPr>
                                <w:rFonts w:ascii="Verdana" w:hAnsi="Verdana"/>
                                <w:b/>
                                <w:bCs/>
                                <w:sz w:val="28"/>
                                <w:szCs w:val="28"/>
                              </w:rPr>
                              <w:t xml:space="preserve"> </w:t>
                            </w:r>
                            <w:r w:rsidR="00BC7F32" w:rsidRPr="00BB36CF">
                              <w:rPr>
                                <w:rFonts w:ascii="Verdana" w:hAnsi="Verdana"/>
                                <w:b/>
                                <w:bCs/>
                                <w:sz w:val="28"/>
                                <w:szCs w:val="28"/>
                              </w:rPr>
                              <w:t>for</w:t>
                            </w:r>
                            <w:proofErr w:type="gramEnd"/>
                            <w:r w:rsidRPr="00BB36CF">
                              <w:rPr>
                                <w:rFonts w:ascii="Verdana" w:hAnsi="Verdana"/>
                                <w:b/>
                                <w:bCs/>
                                <w:sz w:val="28"/>
                                <w:szCs w:val="28"/>
                              </w:rPr>
                              <w:t xml:space="preserve"> Quarter 4/1/2016 - 6/30/2016 Due to Fiscal Year Close</w:t>
                            </w:r>
                          </w:p>
                          <w:p w:rsidR="006A48F0" w:rsidRPr="00BB36CF" w:rsidRDefault="006A48F0" w:rsidP="006A48F0">
                            <w:pPr>
                              <w:widowControl w:val="0"/>
                              <w:rPr>
                                <w:szCs w:val="20"/>
                              </w:rPr>
                            </w:pPr>
                            <w:r w:rsidRPr="00BB36CF">
                              <w:rPr>
                                <w:szCs w:val="20"/>
                              </w:rPr>
                              <w:t xml:space="preserve">Grant and Contract Certification Reports (GCCR’s) get generated once per quarter, about 10 days after quarter end. However, due to </w:t>
                            </w:r>
                            <w:r w:rsidR="00BB36CF" w:rsidRPr="00BB36CF">
                              <w:rPr>
                                <w:szCs w:val="20"/>
                              </w:rPr>
                              <w:t xml:space="preserve">Fiscal Year </w:t>
                            </w:r>
                            <w:r w:rsidRPr="00BB36CF">
                              <w:rPr>
                                <w:szCs w:val="20"/>
                              </w:rPr>
                              <w:t>close, Enterprise Data Warehouse might have generated two different versions of this Report for quarter 4/1/201</w:t>
                            </w:r>
                            <w:r w:rsidR="00BB36CF" w:rsidRPr="00BB36CF">
                              <w:rPr>
                                <w:szCs w:val="20"/>
                              </w:rPr>
                              <w:t>6</w:t>
                            </w:r>
                            <w:r w:rsidRPr="00BB36CF">
                              <w:rPr>
                                <w:szCs w:val="20"/>
                              </w:rPr>
                              <w:t xml:space="preserve"> – 6/30/201</w:t>
                            </w:r>
                            <w:r w:rsidR="00BB36CF" w:rsidRPr="00BB36CF">
                              <w:rPr>
                                <w:szCs w:val="20"/>
                              </w:rPr>
                              <w:t>6</w:t>
                            </w:r>
                            <w:r w:rsidRPr="00BB36CF">
                              <w:rPr>
                                <w:szCs w:val="20"/>
                              </w:rPr>
                              <w:t xml:space="preserve">. </w:t>
                            </w:r>
                          </w:p>
                          <w:p w:rsidR="00EF5579" w:rsidRDefault="00EB5D26" w:rsidP="006A48F0">
                            <w:pPr>
                              <w:rPr>
                                <w:szCs w:val="20"/>
                              </w:rPr>
                            </w:pPr>
                            <w:r>
                              <w:rPr>
                                <w:szCs w:val="20"/>
                              </w:rPr>
                              <w:t>After</w:t>
                            </w:r>
                            <w:r w:rsidR="006A48F0" w:rsidRPr="00BB36CF">
                              <w:rPr>
                                <w:szCs w:val="20"/>
                              </w:rPr>
                              <w:t xml:space="preserve"> Month 25 closed and all </w:t>
                            </w:r>
                            <w:r w:rsidR="00BB36CF" w:rsidRPr="00BB36CF">
                              <w:rPr>
                                <w:szCs w:val="20"/>
                              </w:rPr>
                              <w:t>FY end</w:t>
                            </w:r>
                            <w:r w:rsidR="006A48F0" w:rsidRPr="00BB36CF">
                              <w:rPr>
                                <w:szCs w:val="20"/>
                              </w:rPr>
                              <w:t xml:space="preserve"> transactions posted, the system generated another set of GCCR’s, this time with all closing transactions (OSETs) included. Month 25 OSETs won’t post on the July-September 201</w:t>
                            </w:r>
                            <w:r w:rsidR="00BB36CF" w:rsidRPr="00BB36CF">
                              <w:rPr>
                                <w:szCs w:val="20"/>
                              </w:rPr>
                              <w:t>6</w:t>
                            </w:r>
                            <w:r w:rsidR="006A48F0" w:rsidRPr="00BB36CF">
                              <w:rPr>
                                <w:szCs w:val="20"/>
                              </w:rPr>
                              <w:t xml:space="preserve"> GCCRs as they belong to </w:t>
                            </w:r>
                            <w:r w:rsidR="00BB36CF" w:rsidRPr="00BB36CF">
                              <w:rPr>
                                <w:szCs w:val="20"/>
                              </w:rPr>
                              <w:t>FY</w:t>
                            </w:r>
                            <w:r w:rsidR="006A48F0" w:rsidRPr="00BB36CF">
                              <w:rPr>
                                <w:szCs w:val="20"/>
                              </w:rPr>
                              <w:t xml:space="preserve"> 201</w:t>
                            </w:r>
                            <w:r w:rsidR="00BB36CF" w:rsidRPr="00BB36CF">
                              <w:rPr>
                                <w:szCs w:val="20"/>
                              </w:rPr>
                              <w:t>6</w:t>
                            </w:r>
                            <w:r w:rsidR="006A48F0" w:rsidRPr="00BB36CF">
                              <w:rPr>
                                <w:szCs w:val="20"/>
                              </w:rPr>
                              <w:t xml:space="preserve">. For departments that didn’t process OSETs for non-faculty salaries affecting grant budgets, only the first set of GCCR’s was generated. </w:t>
                            </w:r>
                            <w:bookmarkStart w:id="0" w:name="_GoBack"/>
                            <w:bookmarkEnd w:id="0"/>
                          </w:p>
                          <w:p w:rsidR="00EB5D26" w:rsidRPr="00F924BB" w:rsidRDefault="00EB5D26" w:rsidP="006A48F0">
                            <w:r w:rsidRPr="00BB36CF">
                              <w:rPr>
                                <w:szCs w:val="20"/>
                              </w:rPr>
                              <w:t xml:space="preserve">We suggest all departments that processed FY end OSETs download GCCR’s for quarter 4/1/2016 – 6/30/2016 again and, if the report differs from the originally certified GCCR, the PI should certify the newer version. To identify OSETs affecting the quarter in question, departments can utilize the </w:t>
                            </w:r>
                            <w:r w:rsidRPr="00BB36CF">
                              <w:rPr>
                                <w:b/>
                                <w:szCs w:val="20"/>
                              </w:rPr>
                              <w:t>Retroactive Salary Adjustment Report</w:t>
                            </w:r>
                            <w:r w:rsidRPr="00BB36CF">
                              <w:rPr>
                                <w:szCs w:val="20"/>
                              </w:rPr>
                              <w:t xml:space="preserve"> on the </w:t>
                            </w:r>
                            <w:hyperlink r:id="rId6" w:history="1">
                              <w:r w:rsidRPr="00BC7F32">
                                <w:rPr>
                                  <w:rStyle w:val="Hyperlink"/>
                                  <w:color w:val="7030A0"/>
                                  <w:szCs w:val="20"/>
                                </w:rPr>
                                <w:t>Business Index Portal</w:t>
                              </w:r>
                            </w:hyperlink>
                            <w:r w:rsidRPr="00BC7F32">
                              <w:rPr>
                                <w:color w:val="7030A0"/>
                                <w:szCs w:val="20"/>
                              </w:rPr>
                              <w:t xml:space="preserve"> </w:t>
                            </w:r>
                            <w:r w:rsidRPr="00BB36CF">
                              <w:rPr>
                                <w:szCs w:val="20"/>
                              </w:rPr>
                              <w:t>(ASTRA authorization is required for Enterprise Data Warehouse). MAA will contact departments that might have duplicate</w:t>
                            </w:r>
                            <w:r>
                              <w:rPr>
                                <w:szCs w:val="20"/>
                              </w:rPr>
                              <w:t xml:space="preserve"> GCCR’s. GCCR’s for quarter 4/1/2016 – 6/30/2016 should be downloaded and certified by the PI by September 9,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8D75B" id="_x0000_t202" coordsize="21600,21600" o:spt="202" path="m,l,21600r21600,l21600,xe">
                <v:stroke joinstyle="miter"/>
                <v:path gradientshapeok="t" o:connecttype="rect"/>
              </v:shapetype>
              <v:shape id="Text Box 2" o:spid="_x0000_s1026" type="#_x0000_t202" style="position:absolute;margin-left:0;margin-top:2.6pt;width:531.75pt;height:28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AEIQIAAB4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" stroked="f">
                <v:textbox>
                  <w:txbxContent>
                    <w:p w:rsidR="006A48F0" w:rsidRPr="00BB36CF" w:rsidRDefault="006A48F0" w:rsidP="006A48F0">
                      <w:pPr>
                        <w:widowControl w:val="0"/>
                        <w:jc w:val="center"/>
                        <w:rPr>
                          <w:rFonts w:ascii="Verdana" w:hAnsi="Verdana"/>
                          <w:b/>
                          <w:bCs/>
                          <w:sz w:val="28"/>
                          <w:szCs w:val="28"/>
                        </w:rPr>
                      </w:pPr>
                      <w:r w:rsidRPr="00BB36CF">
                        <w:rPr>
                          <w:rFonts w:ascii="Verdana" w:hAnsi="Verdana"/>
                          <w:b/>
                          <w:bCs/>
                          <w:sz w:val="28"/>
                          <w:szCs w:val="28"/>
                        </w:rPr>
                        <w:t xml:space="preserve">Two Different Versions of GCCR’s Might Have Been </w:t>
                      </w:r>
                      <w:proofErr w:type="gramStart"/>
                      <w:r w:rsidRPr="00BB36CF">
                        <w:rPr>
                          <w:rFonts w:ascii="Verdana" w:hAnsi="Verdana"/>
                          <w:b/>
                          <w:bCs/>
                          <w:sz w:val="28"/>
                          <w:szCs w:val="28"/>
                        </w:rPr>
                        <w:t xml:space="preserve">Generated </w:t>
                      </w:r>
                      <w:r w:rsidR="00567B65">
                        <w:rPr>
                          <w:rFonts w:ascii="Verdana" w:hAnsi="Verdana"/>
                          <w:b/>
                          <w:bCs/>
                          <w:sz w:val="28"/>
                          <w:szCs w:val="28"/>
                        </w:rPr>
                        <w:t xml:space="preserve"> </w:t>
                      </w:r>
                      <w:r w:rsidR="00BC7F32" w:rsidRPr="00BB36CF">
                        <w:rPr>
                          <w:rFonts w:ascii="Verdana" w:hAnsi="Verdana"/>
                          <w:b/>
                          <w:bCs/>
                          <w:sz w:val="28"/>
                          <w:szCs w:val="28"/>
                        </w:rPr>
                        <w:t>for</w:t>
                      </w:r>
                      <w:proofErr w:type="gramEnd"/>
                      <w:r w:rsidRPr="00BB36CF">
                        <w:rPr>
                          <w:rFonts w:ascii="Verdana" w:hAnsi="Verdana"/>
                          <w:b/>
                          <w:bCs/>
                          <w:sz w:val="28"/>
                          <w:szCs w:val="28"/>
                        </w:rPr>
                        <w:t xml:space="preserve"> Quarter 4/1/2016 - 6/30/2016 Due to Fiscal Year Close</w:t>
                      </w:r>
                    </w:p>
                    <w:p w:rsidR="006A48F0" w:rsidRPr="00BB36CF" w:rsidRDefault="006A48F0" w:rsidP="006A48F0">
                      <w:pPr>
                        <w:widowControl w:val="0"/>
                        <w:rPr>
                          <w:szCs w:val="20"/>
                        </w:rPr>
                      </w:pPr>
                      <w:r w:rsidRPr="00BB36CF">
                        <w:rPr>
                          <w:szCs w:val="20"/>
                        </w:rPr>
                        <w:t xml:space="preserve">Grant and Contract Certification Reports (GCCR’s) get generated once per quarter, about 10 days after quarter end. However, due to </w:t>
                      </w:r>
                      <w:r w:rsidR="00BB36CF" w:rsidRPr="00BB36CF">
                        <w:rPr>
                          <w:szCs w:val="20"/>
                        </w:rPr>
                        <w:t xml:space="preserve">Fiscal Year </w:t>
                      </w:r>
                      <w:r w:rsidRPr="00BB36CF">
                        <w:rPr>
                          <w:szCs w:val="20"/>
                        </w:rPr>
                        <w:t>close, Enterprise Data Warehouse might have generated two different versions of this Report for quarter 4/1/201</w:t>
                      </w:r>
                      <w:r w:rsidR="00BB36CF" w:rsidRPr="00BB36CF">
                        <w:rPr>
                          <w:szCs w:val="20"/>
                        </w:rPr>
                        <w:t>6</w:t>
                      </w:r>
                      <w:r w:rsidRPr="00BB36CF">
                        <w:rPr>
                          <w:szCs w:val="20"/>
                        </w:rPr>
                        <w:t xml:space="preserve"> – 6/30/201</w:t>
                      </w:r>
                      <w:r w:rsidR="00BB36CF" w:rsidRPr="00BB36CF">
                        <w:rPr>
                          <w:szCs w:val="20"/>
                        </w:rPr>
                        <w:t>6</w:t>
                      </w:r>
                      <w:r w:rsidRPr="00BB36CF">
                        <w:rPr>
                          <w:szCs w:val="20"/>
                        </w:rPr>
                        <w:t xml:space="preserve">. </w:t>
                      </w:r>
                    </w:p>
                    <w:p w:rsidR="00EF5579" w:rsidRDefault="00EB5D26" w:rsidP="006A48F0">
                      <w:pPr>
                        <w:rPr>
                          <w:szCs w:val="20"/>
                        </w:rPr>
                      </w:pPr>
                      <w:r>
                        <w:rPr>
                          <w:szCs w:val="20"/>
                        </w:rPr>
                        <w:t>After</w:t>
                      </w:r>
                      <w:r w:rsidR="006A48F0" w:rsidRPr="00BB36CF">
                        <w:rPr>
                          <w:szCs w:val="20"/>
                        </w:rPr>
                        <w:t xml:space="preserve"> Month 25 closed and all </w:t>
                      </w:r>
                      <w:r w:rsidR="00BB36CF" w:rsidRPr="00BB36CF">
                        <w:rPr>
                          <w:szCs w:val="20"/>
                        </w:rPr>
                        <w:t>FY end</w:t>
                      </w:r>
                      <w:r w:rsidR="006A48F0" w:rsidRPr="00BB36CF">
                        <w:rPr>
                          <w:szCs w:val="20"/>
                        </w:rPr>
                        <w:t xml:space="preserve"> transactions posted, the system generated another set of GCCR’s, this time with all closing transactions (OSETs) included. Month 25 OSETs won’t post on the July-September 201</w:t>
                      </w:r>
                      <w:r w:rsidR="00BB36CF" w:rsidRPr="00BB36CF">
                        <w:rPr>
                          <w:szCs w:val="20"/>
                        </w:rPr>
                        <w:t>6</w:t>
                      </w:r>
                      <w:r w:rsidR="006A48F0" w:rsidRPr="00BB36CF">
                        <w:rPr>
                          <w:szCs w:val="20"/>
                        </w:rPr>
                        <w:t xml:space="preserve"> GCCRs as they belong to </w:t>
                      </w:r>
                      <w:r w:rsidR="00BB36CF" w:rsidRPr="00BB36CF">
                        <w:rPr>
                          <w:szCs w:val="20"/>
                        </w:rPr>
                        <w:t>FY</w:t>
                      </w:r>
                      <w:r w:rsidR="006A48F0" w:rsidRPr="00BB36CF">
                        <w:rPr>
                          <w:szCs w:val="20"/>
                        </w:rPr>
                        <w:t xml:space="preserve"> 201</w:t>
                      </w:r>
                      <w:r w:rsidR="00BB36CF" w:rsidRPr="00BB36CF">
                        <w:rPr>
                          <w:szCs w:val="20"/>
                        </w:rPr>
                        <w:t>6</w:t>
                      </w:r>
                      <w:r w:rsidR="006A48F0" w:rsidRPr="00BB36CF">
                        <w:rPr>
                          <w:szCs w:val="20"/>
                        </w:rPr>
                        <w:t xml:space="preserve">. For departments that didn’t process OSETs for non-faculty salaries affecting grant budgets, only the first set of GCCR’s was generated. </w:t>
                      </w:r>
                      <w:bookmarkStart w:id="1" w:name="_GoBack"/>
                      <w:bookmarkEnd w:id="1"/>
                    </w:p>
                    <w:p w:rsidR="00EB5D26" w:rsidRPr="00F924BB" w:rsidRDefault="00EB5D26" w:rsidP="006A48F0">
                      <w:r w:rsidRPr="00BB36CF">
                        <w:rPr>
                          <w:szCs w:val="20"/>
                        </w:rPr>
                        <w:t xml:space="preserve">We suggest all departments that processed FY end OSETs download GCCR’s for quarter 4/1/2016 – 6/30/2016 again and, if the report differs from the originally certified GCCR, the PI should certify the newer version. To identify OSETs affecting the quarter in question, departments can utilize the </w:t>
                      </w:r>
                      <w:r w:rsidRPr="00BB36CF">
                        <w:rPr>
                          <w:b/>
                          <w:szCs w:val="20"/>
                        </w:rPr>
                        <w:t>Retroactive Salary Adjustment Report</w:t>
                      </w:r>
                      <w:r w:rsidRPr="00BB36CF">
                        <w:rPr>
                          <w:szCs w:val="20"/>
                        </w:rPr>
                        <w:t xml:space="preserve"> on the </w:t>
                      </w:r>
                      <w:hyperlink r:id="rId7" w:history="1">
                        <w:r w:rsidRPr="00BC7F32">
                          <w:rPr>
                            <w:rStyle w:val="Hyperlink"/>
                            <w:color w:val="7030A0"/>
                            <w:szCs w:val="20"/>
                          </w:rPr>
                          <w:t>Business Index Portal</w:t>
                        </w:r>
                      </w:hyperlink>
                      <w:r w:rsidRPr="00BC7F32">
                        <w:rPr>
                          <w:color w:val="7030A0"/>
                          <w:szCs w:val="20"/>
                        </w:rPr>
                        <w:t xml:space="preserve"> </w:t>
                      </w:r>
                      <w:r w:rsidRPr="00BB36CF">
                        <w:rPr>
                          <w:szCs w:val="20"/>
                        </w:rPr>
                        <w:t>(ASTRA authorization is required for Enterprise Data Warehouse). MAA will contact departments that might have duplicate</w:t>
                      </w:r>
                      <w:r>
                        <w:rPr>
                          <w:szCs w:val="20"/>
                        </w:rPr>
                        <w:t xml:space="preserve"> GCCR’s. GCCR’s for quarter 4/1/2016 – 6/30/2016 should be downloaded and certified by the PI by September 9, 2016.</w:t>
                      </w:r>
                    </w:p>
                  </w:txbxContent>
                </v:textbox>
                <w10:wrap anchorx="margin"/>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0B7A12" w:rsidRDefault="00F30325" w:rsidP="00F30325">
      <w:pPr>
        <w:rPr>
          <w:rFonts w:ascii="Copperplate Gothic Bold" w:hAnsi="Copperplate Gothic Bold"/>
          <w:sz w:val="16"/>
          <w:szCs w:val="16"/>
        </w:rPr>
      </w:pPr>
    </w:p>
    <w:p w:rsidR="00F30325" w:rsidRPr="00F30325" w:rsidRDefault="008444CE" w:rsidP="005B43D3">
      <w:pPr>
        <w:widowControl w:val="0"/>
        <w:spacing w:after="0" w:line="240" w:lineRule="auto"/>
        <w:rPr>
          <w:rFonts w:ascii="Copperplate Gothic Bold" w:hAnsi="Copperplate Gothic Bold"/>
        </w:rPr>
      </w:pPr>
      <w:r>
        <w:t xml:space="preserve">  </w:t>
      </w:r>
    </w:p>
    <w:p w:rsidR="00F30325" w:rsidRPr="00F30325" w:rsidRDefault="00567B65" w:rsidP="00F30325">
      <w:pPr>
        <w:rPr>
          <w:rFonts w:ascii="Copperplate Gothic Bold" w:hAnsi="Copperplate Gothic Bold"/>
        </w:rPr>
      </w:pPr>
      <w:r w:rsidRPr="00F30325">
        <w:rPr>
          <w:rFonts w:ascii="Copperplate Gothic Bold" w:hAnsi="Copperplate Gothic Bold"/>
          <w:noProof/>
        </w:rPr>
        <mc:AlternateContent>
          <mc:Choice Requires="wps">
            <w:drawing>
              <wp:anchor distT="0" distB="0" distL="114300" distR="114300" simplePos="0" relativeHeight="251651072" behindDoc="0" locked="0" layoutInCell="1" allowOverlap="1" wp14:anchorId="6EFA6C6D" wp14:editId="181E7794">
                <wp:simplePos x="0" y="0"/>
                <wp:positionH relativeFrom="margin">
                  <wp:posOffset>3286125</wp:posOffset>
                </wp:positionH>
                <wp:positionV relativeFrom="paragraph">
                  <wp:posOffset>96520</wp:posOffset>
                </wp:positionV>
                <wp:extent cx="3657600" cy="52101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10175"/>
                        </a:xfrm>
                        <a:prstGeom prst="rect">
                          <a:avLst/>
                        </a:prstGeom>
                        <a:solidFill>
                          <a:srgbClr val="FFFFFF"/>
                        </a:solidFill>
                        <a:ln w="9525">
                          <a:noFill/>
                          <a:miter lim="800000"/>
                          <a:headEnd/>
                          <a:tailEnd/>
                        </a:ln>
                      </wps:spPr>
                      <wps:txbx>
                        <w:txbxContent>
                          <w:p w:rsidR="006A48F0" w:rsidRDefault="006A48F0" w:rsidP="006A48F0">
                            <w:pPr>
                              <w:jc w:val="center"/>
                              <w:rPr>
                                <w:rFonts w:ascii="Verdana" w:hAnsi="Verdana"/>
                                <w:b/>
                                <w:bCs/>
                                <w:sz w:val="28"/>
                                <w:szCs w:val="28"/>
                              </w:rPr>
                            </w:pPr>
                            <w:r>
                              <w:rPr>
                                <w:rFonts w:ascii="Verdana" w:hAnsi="Verdana"/>
                                <w:b/>
                                <w:bCs/>
                                <w:sz w:val="28"/>
                                <w:szCs w:val="28"/>
                              </w:rPr>
                              <w:t>Use IBS Through</w:t>
                            </w:r>
                            <w:r w:rsidR="00EB5D26">
                              <w:rPr>
                                <w:rFonts w:ascii="Verdana" w:hAnsi="Verdana"/>
                                <w:b/>
                                <w:bCs/>
                                <w:sz w:val="28"/>
                                <w:szCs w:val="28"/>
                              </w:rPr>
                              <w:t>out</w:t>
                            </w:r>
                            <w:r>
                              <w:rPr>
                                <w:rFonts w:ascii="Verdana" w:hAnsi="Verdana"/>
                                <w:b/>
                                <w:bCs/>
                                <w:sz w:val="28"/>
                                <w:szCs w:val="28"/>
                              </w:rPr>
                              <w:t xml:space="preserve"> </w:t>
                            </w:r>
                            <w:r w:rsidR="00AF1AE8">
                              <w:rPr>
                                <w:rFonts w:ascii="Verdana" w:hAnsi="Verdana"/>
                                <w:b/>
                                <w:bCs/>
                                <w:sz w:val="28"/>
                                <w:szCs w:val="28"/>
                              </w:rPr>
                              <w:t xml:space="preserve">                  </w:t>
                            </w:r>
                            <w:r>
                              <w:rPr>
                                <w:rFonts w:ascii="Verdana" w:hAnsi="Verdana"/>
                                <w:b/>
                                <w:bCs/>
                                <w:sz w:val="28"/>
                                <w:szCs w:val="28"/>
                              </w:rPr>
                              <w:t xml:space="preserve">the </w:t>
                            </w:r>
                            <w:r w:rsidR="00EB5D26">
                              <w:rPr>
                                <w:rFonts w:ascii="Verdana" w:hAnsi="Verdana"/>
                                <w:b/>
                                <w:bCs/>
                                <w:sz w:val="28"/>
                                <w:szCs w:val="28"/>
                              </w:rPr>
                              <w:t>L</w:t>
                            </w:r>
                            <w:r>
                              <w:rPr>
                                <w:rFonts w:ascii="Verdana" w:hAnsi="Verdana"/>
                                <w:b/>
                                <w:bCs/>
                                <w:sz w:val="28"/>
                                <w:szCs w:val="28"/>
                              </w:rPr>
                              <w:t xml:space="preserve">ife of a </w:t>
                            </w:r>
                            <w:r w:rsidR="00EB5D26">
                              <w:rPr>
                                <w:rFonts w:ascii="Verdana" w:hAnsi="Verdana"/>
                                <w:b/>
                                <w:bCs/>
                                <w:sz w:val="28"/>
                                <w:szCs w:val="28"/>
                              </w:rPr>
                              <w:t>G</w:t>
                            </w:r>
                            <w:r>
                              <w:rPr>
                                <w:rFonts w:ascii="Verdana" w:hAnsi="Verdana"/>
                                <w:b/>
                                <w:bCs/>
                                <w:sz w:val="28"/>
                                <w:szCs w:val="28"/>
                              </w:rPr>
                              <w:t>rant!</w:t>
                            </w:r>
                          </w:p>
                          <w:p w:rsidR="00EB5D26" w:rsidRDefault="00EB5D26" w:rsidP="00EB5D26">
                            <w:pPr>
                              <w:spacing w:after="0"/>
                            </w:pPr>
                            <w:r>
                              <w:t xml:space="preserve">Institutional Base Salary (IBS) </w:t>
                            </w:r>
                            <w:r w:rsidR="00F44286">
                              <w:t>is the annual compensation that</w:t>
                            </w:r>
                            <w:r w:rsidR="00AF1AE8">
                              <w:t xml:space="preserve"> an</w:t>
                            </w:r>
                            <w:r w:rsidR="00F44286">
                              <w:t xml:space="preserve"> organization pays for an individual's appointment, whether that individual's time is spent on research, teaching, patient care, or other activities. IBS </w:t>
                            </w:r>
                            <w:r>
                              <w:t>should be used consistently</w:t>
                            </w:r>
                            <w:r w:rsidR="00F44286">
                              <w:t xml:space="preserve"> throughout the life of the grant,</w:t>
                            </w:r>
                            <w:r>
                              <w:t xml:space="preserve"> from preparing the proposal to final reporting. Do not exclude a</w:t>
                            </w:r>
                            <w:r w:rsidR="00F44286">
                              <w:t>ny</w:t>
                            </w:r>
                            <w:r>
                              <w:t xml:space="preserve"> portion of the IBS </w:t>
                            </w:r>
                            <w:r w:rsidR="00AF1AE8">
                              <w:t xml:space="preserve">when making </w:t>
                            </w:r>
                            <w:r>
                              <w:t>salary cap calculation</w:t>
                            </w:r>
                            <w:r w:rsidR="00AF1AE8">
                              <w:t>s</w:t>
                            </w:r>
                            <w:r>
                              <w:t>.</w:t>
                            </w:r>
                            <w:r w:rsidR="00F44286">
                              <w:t xml:space="preserve"> Salary cap is a limitation on the full IBS.</w:t>
                            </w:r>
                          </w:p>
                          <w:p w:rsidR="00EB5D26" w:rsidRDefault="00EB5D26" w:rsidP="00EB5D26">
                            <w:pPr>
                              <w:spacing w:after="0"/>
                            </w:pPr>
                          </w:p>
                          <w:p w:rsidR="00F44286" w:rsidRDefault="00C44A5C" w:rsidP="00EB5D26">
                            <w:pPr>
                              <w:spacing w:after="0"/>
                            </w:pPr>
                            <w:r>
                              <w:t>Per NIH</w:t>
                            </w:r>
                            <w:r w:rsidRPr="00C44A5C">
                              <w:rPr>
                                <w:color w:val="7030A0"/>
                              </w:rPr>
                              <w:t xml:space="preserve"> </w:t>
                            </w:r>
                            <w:hyperlink r:id="rId8" w:history="1">
                              <w:r w:rsidRPr="00C44A5C">
                                <w:rPr>
                                  <w:rStyle w:val="Hyperlink"/>
                                  <w:color w:val="7030A0"/>
                                </w:rPr>
                                <w:t>Notice on Salary Limitation on Grants, Cooperative Agreements, and Contracts</w:t>
                              </w:r>
                            </w:hyperlink>
                            <w:r>
                              <w:t>, c</w:t>
                            </w:r>
                            <w:r w:rsidR="006A48F0">
                              <w:t>ompeting grant applications and contract proposals that include a categorical breakdown in the</w:t>
                            </w:r>
                            <w:r w:rsidR="00F44286">
                              <w:t xml:space="preserve"> budget</w:t>
                            </w:r>
                            <w:r w:rsidR="006A48F0">
                              <w:t xml:space="preserve"> proposal should reflect the</w:t>
                            </w:r>
                            <w:r w:rsidR="006A48F0" w:rsidRPr="00885DDC">
                              <w:rPr>
                                <w:u w:val="single"/>
                              </w:rPr>
                              <w:t xml:space="preserve"> actual institutional base salary</w:t>
                            </w:r>
                            <w:r w:rsidR="006A48F0">
                              <w:t xml:space="preserve"> of all individuals for whom reimbursement is requested. </w:t>
                            </w:r>
                            <w:r w:rsidR="002018F6">
                              <w:t xml:space="preserve"> </w:t>
                            </w:r>
                            <w:r w:rsidR="002018F6">
                              <w:t>NIH staff will make necessary adjustments to requested salaries prior to award.</w:t>
                            </w:r>
                          </w:p>
                          <w:p w:rsidR="00F44286" w:rsidRDefault="00F44286" w:rsidP="00EB5D26">
                            <w:pPr>
                              <w:spacing w:after="0"/>
                            </w:pPr>
                          </w:p>
                          <w:p w:rsidR="006A48F0" w:rsidRDefault="00AF1AE8" w:rsidP="00EB5D26">
                            <w:pPr>
                              <w:spacing w:after="0"/>
                            </w:pPr>
                            <w:r>
                              <w:t>An exception to this is</w:t>
                            </w:r>
                            <w:r w:rsidR="00C44A5C">
                              <w:t xml:space="preserve"> </w:t>
                            </w:r>
                            <w:r>
                              <w:t xml:space="preserve">when proposal submissions are in response to fixed award solicitations.  </w:t>
                            </w:r>
                            <w:r w:rsidR="006A48F0">
                              <w:t xml:space="preserve">In </w:t>
                            </w:r>
                            <w:r>
                              <w:t>these cases</w:t>
                            </w:r>
                            <w:r w:rsidR="00F44286">
                              <w:t xml:space="preserve"> applicants</w:t>
                            </w:r>
                            <w:r w:rsidR="006A48F0">
                              <w:t xml:space="preserve"> </w:t>
                            </w:r>
                            <w:r>
                              <w:t>should</w:t>
                            </w:r>
                            <w:r w:rsidR="006A48F0">
                              <w:t xml:space="preserve"> </w:t>
                            </w:r>
                            <w:r w:rsidR="002018F6">
                              <w:t xml:space="preserve">reflect salaries based on the salary cap and include </w:t>
                            </w:r>
                            <w:r w:rsidR="006A48F0">
                              <w:t xml:space="preserve">an explanation indicating actual </w:t>
                            </w:r>
                            <w:r w:rsidR="002018F6">
                              <w:t xml:space="preserve">IBS </w:t>
                            </w:r>
                            <w:r w:rsidR="006A48F0">
                              <w:t xml:space="preserve">exceeds the current salary limit. </w:t>
                            </w:r>
                          </w:p>
                          <w:p w:rsidR="00F924BB" w:rsidRDefault="00F924BB"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A95892" w:rsidRDefault="00F924BB" w:rsidP="00433311">
                            <w:pPr>
                              <w:rPr>
                                <w:noProof/>
                              </w:rPr>
                            </w:pPr>
                            <w:r w:rsidRPr="00A93F8B">
                              <w:rPr>
                                <w:noProof/>
                              </w:rPr>
                              <w:drawing>
                                <wp:inline distT="0" distB="0" distL="0" distR="0" wp14:anchorId="5CE7799C" wp14:editId="37314398">
                                  <wp:extent cx="3077154" cy="756920"/>
                                  <wp:effectExtent l="38100" t="38100" r="104775" b="1003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303" cy="759170"/>
                                          </a:xfrm>
                                          <a:prstGeom prst="rect">
                                            <a:avLst/>
                                          </a:prstGeom>
                                          <a:noFill/>
                                          <a:ln>
                                            <a:noFill/>
                                          </a:ln>
                                          <a:effectLst>
                                            <a:outerShdw blurRad="50800" dist="38100" dir="2700000" algn="tl" rotWithShape="0">
                                              <a:prstClr val="black">
                                                <a:alpha val="40000"/>
                                              </a:prst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A6C6D" id="_x0000_s1027" type="#_x0000_t202" style="position:absolute;margin-left:258.75pt;margin-top:7.6pt;width:4in;height:41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" stroked="f">
                <v:textbox>
                  <w:txbxContent>
                    <w:p w:rsidR="006A48F0" w:rsidRDefault="006A48F0" w:rsidP="006A48F0">
                      <w:pPr>
                        <w:jc w:val="center"/>
                        <w:rPr>
                          <w:rFonts w:ascii="Verdana" w:hAnsi="Verdana"/>
                          <w:b/>
                          <w:bCs/>
                          <w:sz w:val="28"/>
                          <w:szCs w:val="28"/>
                        </w:rPr>
                      </w:pPr>
                      <w:r>
                        <w:rPr>
                          <w:rFonts w:ascii="Verdana" w:hAnsi="Verdana"/>
                          <w:b/>
                          <w:bCs/>
                          <w:sz w:val="28"/>
                          <w:szCs w:val="28"/>
                        </w:rPr>
                        <w:t>Use IBS Through</w:t>
                      </w:r>
                      <w:r w:rsidR="00EB5D26">
                        <w:rPr>
                          <w:rFonts w:ascii="Verdana" w:hAnsi="Verdana"/>
                          <w:b/>
                          <w:bCs/>
                          <w:sz w:val="28"/>
                          <w:szCs w:val="28"/>
                        </w:rPr>
                        <w:t>out</w:t>
                      </w:r>
                      <w:r>
                        <w:rPr>
                          <w:rFonts w:ascii="Verdana" w:hAnsi="Verdana"/>
                          <w:b/>
                          <w:bCs/>
                          <w:sz w:val="28"/>
                          <w:szCs w:val="28"/>
                        </w:rPr>
                        <w:t xml:space="preserve"> </w:t>
                      </w:r>
                      <w:r w:rsidR="00AF1AE8">
                        <w:rPr>
                          <w:rFonts w:ascii="Verdana" w:hAnsi="Verdana"/>
                          <w:b/>
                          <w:bCs/>
                          <w:sz w:val="28"/>
                          <w:szCs w:val="28"/>
                        </w:rPr>
                        <w:t xml:space="preserve">                  </w:t>
                      </w:r>
                      <w:r>
                        <w:rPr>
                          <w:rFonts w:ascii="Verdana" w:hAnsi="Verdana"/>
                          <w:b/>
                          <w:bCs/>
                          <w:sz w:val="28"/>
                          <w:szCs w:val="28"/>
                        </w:rPr>
                        <w:t xml:space="preserve">the </w:t>
                      </w:r>
                      <w:r w:rsidR="00EB5D26">
                        <w:rPr>
                          <w:rFonts w:ascii="Verdana" w:hAnsi="Verdana"/>
                          <w:b/>
                          <w:bCs/>
                          <w:sz w:val="28"/>
                          <w:szCs w:val="28"/>
                        </w:rPr>
                        <w:t>L</w:t>
                      </w:r>
                      <w:r>
                        <w:rPr>
                          <w:rFonts w:ascii="Verdana" w:hAnsi="Verdana"/>
                          <w:b/>
                          <w:bCs/>
                          <w:sz w:val="28"/>
                          <w:szCs w:val="28"/>
                        </w:rPr>
                        <w:t xml:space="preserve">ife of a </w:t>
                      </w:r>
                      <w:r w:rsidR="00EB5D26">
                        <w:rPr>
                          <w:rFonts w:ascii="Verdana" w:hAnsi="Verdana"/>
                          <w:b/>
                          <w:bCs/>
                          <w:sz w:val="28"/>
                          <w:szCs w:val="28"/>
                        </w:rPr>
                        <w:t>G</w:t>
                      </w:r>
                      <w:r>
                        <w:rPr>
                          <w:rFonts w:ascii="Verdana" w:hAnsi="Verdana"/>
                          <w:b/>
                          <w:bCs/>
                          <w:sz w:val="28"/>
                          <w:szCs w:val="28"/>
                        </w:rPr>
                        <w:t>rant!</w:t>
                      </w:r>
                    </w:p>
                    <w:p w:rsidR="00EB5D26" w:rsidRDefault="00EB5D26" w:rsidP="00EB5D26">
                      <w:pPr>
                        <w:spacing w:after="0"/>
                      </w:pPr>
                      <w:r>
                        <w:t xml:space="preserve">Institutional Base Salary (IBS) </w:t>
                      </w:r>
                      <w:r w:rsidR="00F44286">
                        <w:t>is the annual compensation that</w:t>
                      </w:r>
                      <w:r w:rsidR="00AF1AE8">
                        <w:t xml:space="preserve"> an</w:t>
                      </w:r>
                      <w:r w:rsidR="00F44286">
                        <w:t xml:space="preserve"> organization pays for an individual's appointment, whether that individual's time is spent on research, teaching, patient care, or other activities. IBS </w:t>
                      </w:r>
                      <w:r>
                        <w:t>should be used consistently</w:t>
                      </w:r>
                      <w:r w:rsidR="00F44286">
                        <w:t xml:space="preserve"> throughout the life of the grant,</w:t>
                      </w:r>
                      <w:r>
                        <w:t xml:space="preserve"> from preparing the proposal to final reporting. Do not exclude a</w:t>
                      </w:r>
                      <w:r w:rsidR="00F44286">
                        <w:t>ny</w:t>
                      </w:r>
                      <w:r>
                        <w:t xml:space="preserve"> portion of the IBS </w:t>
                      </w:r>
                      <w:r w:rsidR="00AF1AE8">
                        <w:t xml:space="preserve">when making </w:t>
                      </w:r>
                      <w:r>
                        <w:t>salary cap calculation</w:t>
                      </w:r>
                      <w:r w:rsidR="00AF1AE8">
                        <w:t>s</w:t>
                      </w:r>
                      <w:r>
                        <w:t>.</w:t>
                      </w:r>
                      <w:r w:rsidR="00F44286">
                        <w:t xml:space="preserve"> Salary cap is a limitation on the full IBS.</w:t>
                      </w:r>
                    </w:p>
                    <w:p w:rsidR="00EB5D26" w:rsidRDefault="00EB5D26" w:rsidP="00EB5D26">
                      <w:pPr>
                        <w:spacing w:after="0"/>
                      </w:pPr>
                    </w:p>
                    <w:p w:rsidR="00F44286" w:rsidRDefault="00C44A5C" w:rsidP="00EB5D26">
                      <w:pPr>
                        <w:spacing w:after="0"/>
                      </w:pPr>
                      <w:r>
                        <w:t>Per NIH</w:t>
                      </w:r>
                      <w:r w:rsidRPr="00C44A5C">
                        <w:rPr>
                          <w:color w:val="7030A0"/>
                        </w:rPr>
                        <w:t xml:space="preserve"> </w:t>
                      </w:r>
                      <w:hyperlink r:id="rId10" w:history="1">
                        <w:r w:rsidRPr="00C44A5C">
                          <w:rPr>
                            <w:rStyle w:val="Hyperlink"/>
                            <w:color w:val="7030A0"/>
                          </w:rPr>
                          <w:t>Notice on Salary Limitation on Grants, Cooperative Agreements, and Contracts</w:t>
                        </w:r>
                      </w:hyperlink>
                      <w:r>
                        <w:t>, c</w:t>
                      </w:r>
                      <w:r w:rsidR="006A48F0">
                        <w:t>ompeting grant applications and contract proposals that include a categorical breakdown in the</w:t>
                      </w:r>
                      <w:r w:rsidR="00F44286">
                        <w:t xml:space="preserve"> budget</w:t>
                      </w:r>
                      <w:r w:rsidR="006A48F0">
                        <w:t xml:space="preserve"> proposal should reflect the</w:t>
                      </w:r>
                      <w:r w:rsidR="006A48F0" w:rsidRPr="00885DDC">
                        <w:rPr>
                          <w:u w:val="single"/>
                        </w:rPr>
                        <w:t xml:space="preserve"> actual institutional base salary</w:t>
                      </w:r>
                      <w:r w:rsidR="006A48F0">
                        <w:t xml:space="preserve"> of all individuals for whom reimbursement is requested. </w:t>
                      </w:r>
                      <w:r w:rsidR="002018F6">
                        <w:t xml:space="preserve"> </w:t>
                      </w:r>
                      <w:r w:rsidR="002018F6">
                        <w:t>NIH staff will make necessary adjustments to requested salaries prior to award.</w:t>
                      </w:r>
                    </w:p>
                    <w:p w:rsidR="00F44286" w:rsidRDefault="00F44286" w:rsidP="00EB5D26">
                      <w:pPr>
                        <w:spacing w:after="0"/>
                      </w:pPr>
                    </w:p>
                    <w:p w:rsidR="006A48F0" w:rsidRDefault="00AF1AE8" w:rsidP="00EB5D26">
                      <w:pPr>
                        <w:spacing w:after="0"/>
                      </w:pPr>
                      <w:r>
                        <w:t>An exception to this is</w:t>
                      </w:r>
                      <w:r w:rsidR="00C44A5C">
                        <w:t xml:space="preserve"> </w:t>
                      </w:r>
                      <w:r>
                        <w:t xml:space="preserve">when proposal submissions are in response to fixed award solicitations.  </w:t>
                      </w:r>
                      <w:r w:rsidR="006A48F0">
                        <w:t xml:space="preserve">In </w:t>
                      </w:r>
                      <w:r>
                        <w:t>these cases</w:t>
                      </w:r>
                      <w:r w:rsidR="00F44286">
                        <w:t xml:space="preserve"> applicants</w:t>
                      </w:r>
                      <w:r w:rsidR="006A48F0">
                        <w:t xml:space="preserve"> </w:t>
                      </w:r>
                      <w:r>
                        <w:t>should</w:t>
                      </w:r>
                      <w:r w:rsidR="006A48F0">
                        <w:t xml:space="preserve"> </w:t>
                      </w:r>
                      <w:r w:rsidR="002018F6">
                        <w:t xml:space="preserve">reflect salaries based on the salary cap and include </w:t>
                      </w:r>
                      <w:r w:rsidR="006A48F0">
                        <w:t xml:space="preserve">an explanation indicating actual </w:t>
                      </w:r>
                      <w:r w:rsidR="002018F6">
                        <w:t xml:space="preserve">IBS </w:t>
                      </w:r>
                      <w:r w:rsidR="006A48F0">
                        <w:t xml:space="preserve">exceeds the current salary limit. </w:t>
                      </w:r>
                    </w:p>
                    <w:p w:rsidR="00F924BB" w:rsidRDefault="00F924BB"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EF5579" w:rsidRDefault="00EF5579" w:rsidP="00433311">
                      <w:pPr>
                        <w:rPr>
                          <w:noProof/>
                        </w:rPr>
                      </w:pPr>
                    </w:p>
                    <w:p w:rsidR="00A95892" w:rsidRDefault="00F924BB" w:rsidP="00433311">
                      <w:pPr>
                        <w:rPr>
                          <w:noProof/>
                        </w:rPr>
                      </w:pPr>
                      <w:r w:rsidRPr="00A93F8B">
                        <w:rPr>
                          <w:noProof/>
                        </w:rPr>
                        <w:drawing>
                          <wp:inline distT="0" distB="0" distL="0" distR="0" wp14:anchorId="5CE7799C" wp14:editId="37314398">
                            <wp:extent cx="3077154" cy="756920"/>
                            <wp:effectExtent l="38100" t="38100" r="104775" b="1003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303" cy="759170"/>
                                    </a:xfrm>
                                    <a:prstGeom prst="rect">
                                      <a:avLst/>
                                    </a:prstGeom>
                                    <a:noFill/>
                                    <a:ln>
                                      <a:noFill/>
                                    </a:ln>
                                    <a:effectLst>
                                      <a:outerShdw blurRad="50800" dist="38100" dir="2700000" algn="tl" rotWithShape="0">
                                        <a:prstClr val="black">
                                          <a:alpha val="40000"/>
                                        </a:prstClr>
                                      </a:outerShdw>
                                    </a:effectLst>
                                  </pic:spPr>
                                </pic:pic>
                              </a:graphicData>
                            </a:graphic>
                          </wp:inline>
                        </w:drawing>
                      </w:r>
                    </w:p>
                  </w:txbxContent>
                </v:textbox>
                <w10:wrap anchorx="margin"/>
              </v:shape>
            </w:pict>
          </mc:Fallback>
        </mc:AlternateContent>
      </w:r>
    </w:p>
    <w:p w:rsidR="00F30325" w:rsidRPr="00F30325" w:rsidRDefault="00567B65"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7BE075C3" wp14:editId="6D12C44E">
                <wp:simplePos x="0" y="0"/>
                <wp:positionH relativeFrom="margin">
                  <wp:align>left</wp:align>
                </wp:positionH>
                <wp:positionV relativeFrom="paragraph">
                  <wp:posOffset>62230</wp:posOffset>
                </wp:positionV>
                <wp:extent cx="3139440" cy="2466975"/>
                <wp:effectExtent l="57150" t="57150" r="118110" b="1238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46697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5B43D3" w:rsidRDefault="005B43D3" w:rsidP="005B43D3">
                            <w:pPr>
                              <w:spacing w:line="240" w:lineRule="auto"/>
                              <w:jc w:val="center"/>
                              <w:rPr>
                                <w:rFonts w:ascii="Verdana" w:hAnsi="Verdana"/>
                                <w:b/>
                                <w:sz w:val="28"/>
                              </w:rPr>
                            </w:pPr>
                            <w:r w:rsidRPr="00E715B6">
                              <w:rPr>
                                <w:rFonts w:ascii="Verdana" w:hAnsi="Verdana"/>
                                <w:b/>
                                <w:sz w:val="28"/>
                              </w:rPr>
                              <w:t xml:space="preserve">Training Available       </w:t>
                            </w:r>
                            <w:r w:rsidR="007B2A99">
                              <w:rPr>
                                <w:rFonts w:ascii="Verdana" w:hAnsi="Verdana"/>
                                <w:b/>
                                <w:sz w:val="28"/>
                              </w:rPr>
                              <w:t xml:space="preserve">  </w:t>
                            </w:r>
                            <w:r w:rsidR="00A30586">
                              <w:rPr>
                                <w:rFonts w:ascii="Verdana" w:hAnsi="Verdana"/>
                                <w:b/>
                                <w:sz w:val="28"/>
                              </w:rPr>
                              <w:t xml:space="preserve"> </w:t>
                            </w:r>
                            <w:r w:rsidR="00D25373">
                              <w:rPr>
                                <w:rFonts w:ascii="Verdana" w:hAnsi="Verdana"/>
                                <w:b/>
                                <w:sz w:val="28"/>
                              </w:rPr>
                              <w:t xml:space="preserve"> </w:t>
                            </w:r>
                            <w:r w:rsidR="007B2A99">
                              <w:rPr>
                                <w:rFonts w:ascii="Verdana" w:hAnsi="Verdana"/>
                                <w:b/>
                                <w:sz w:val="28"/>
                              </w:rPr>
                              <w:t xml:space="preserve"> </w:t>
                            </w:r>
                            <w:r w:rsidR="009B1788">
                              <w:rPr>
                                <w:rFonts w:ascii="Verdana" w:hAnsi="Verdana"/>
                                <w:b/>
                                <w:sz w:val="28"/>
                              </w:rPr>
                              <w:t xml:space="preserve"> </w:t>
                            </w:r>
                            <w:r w:rsidR="00EB5D26">
                              <w:rPr>
                                <w:rFonts w:ascii="Verdana" w:hAnsi="Verdana"/>
                                <w:b/>
                                <w:sz w:val="28"/>
                              </w:rPr>
                              <w:t>August-September</w:t>
                            </w:r>
                          </w:p>
                          <w:p w:rsidR="005B43D3" w:rsidRPr="00976132" w:rsidRDefault="005B43D3" w:rsidP="005B43D3">
                            <w:pPr>
                              <w:spacing w:line="240" w:lineRule="auto"/>
                              <w:jc w:val="center"/>
                              <w:rPr>
                                <w:rFonts w:ascii="Verdana" w:hAnsi="Verdana"/>
                                <w:b/>
                                <w:i/>
                              </w:rPr>
                            </w:pPr>
                            <w:r w:rsidRPr="00976132">
                              <w:rPr>
                                <w:i/>
                                <w:sz w:val="18"/>
                              </w:rPr>
                              <w:t>Select the title of any of the following courses to register.</w:t>
                            </w:r>
                          </w:p>
                          <w:p w:rsidR="00BC7F32" w:rsidRPr="00BC7F32" w:rsidRDefault="0043736C" w:rsidP="009B1788">
                            <w:pPr>
                              <w:pStyle w:val="ListParagraph"/>
                              <w:numPr>
                                <w:ilvl w:val="0"/>
                                <w:numId w:val="9"/>
                              </w:numPr>
                              <w:shd w:val="clear" w:color="auto" w:fill="FFFFFF"/>
                              <w:spacing w:after="0" w:line="240" w:lineRule="auto"/>
                              <w:textAlignment w:val="top"/>
                              <w:rPr>
                                <w:color w:val="7030A0"/>
                              </w:rPr>
                            </w:pPr>
                            <w:hyperlink r:id="rId11" w:history="1">
                              <w:r w:rsidR="00BC7F32" w:rsidRPr="00BC7F32">
                                <w:rPr>
                                  <w:rStyle w:val="Hyperlink"/>
                                  <w:color w:val="7030A0"/>
                                </w:rPr>
                                <w:t>Salary Limitations - Salary Cap</w:t>
                              </w:r>
                            </w:hyperlink>
                          </w:p>
                          <w:p w:rsidR="00BC7F32" w:rsidRPr="00BC7F32" w:rsidRDefault="0043736C" w:rsidP="005B43D3">
                            <w:pPr>
                              <w:pStyle w:val="ListParagraph"/>
                              <w:numPr>
                                <w:ilvl w:val="0"/>
                                <w:numId w:val="9"/>
                              </w:numPr>
                              <w:shd w:val="clear" w:color="auto" w:fill="FFFFFF"/>
                              <w:spacing w:after="0" w:line="240" w:lineRule="auto"/>
                              <w:textAlignment w:val="top"/>
                              <w:rPr>
                                <w:color w:val="7030A0"/>
                              </w:rPr>
                            </w:pPr>
                            <w:hyperlink r:id="rId12" w:history="1">
                              <w:r w:rsidR="00BC7F32" w:rsidRPr="00BC7F32">
                                <w:rPr>
                                  <w:rStyle w:val="Hyperlink"/>
                                  <w:color w:val="7030A0"/>
                                </w:rPr>
                                <w:t>Modifying an FEC Using Comments and Adjusting Cost Sharing</w:t>
                              </w:r>
                            </w:hyperlink>
                          </w:p>
                          <w:p w:rsidR="00A93F8B" w:rsidRPr="00BC7F32" w:rsidRDefault="0043736C" w:rsidP="005B43D3">
                            <w:pPr>
                              <w:pStyle w:val="ListParagraph"/>
                              <w:numPr>
                                <w:ilvl w:val="0"/>
                                <w:numId w:val="9"/>
                              </w:numPr>
                              <w:shd w:val="clear" w:color="auto" w:fill="FFFFFF"/>
                              <w:spacing w:after="0" w:line="240" w:lineRule="auto"/>
                              <w:textAlignment w:val="top"/>
                              <w:rPr>
                                <w:color w:val="7030A0"/>
                              </w:rPr>
                            </w:pPr>
                            <w:hyperlink r:id="rId13" w:history="1">
                              <w:r w:rsidR="00BC7F32" w:rsidRPr="00BC7F32">
                                <w:rPr>
                                  <w:rStyle w:val="Hyperlink"/>
                                  <w:color w:val="7030A0"/>
                                </w:rPr>
                                <w:t>Modifying an FEC, Change Outside eFECS and Recertifications</w:t>
                              </w:r>
                            </w:hyperlink>
                          </w:p>
                          <w:p w:rsidR="00BC7F32" w:rsidRPr="00BC7F32" w:rsidRDefault="00BC7F32" w:rsidP="00BC7F32">
                            <w:pPr>
                              <w:pStyle w:val="ListParagraph"/>
                              <w:shd w:val="clear" w:color="auto" w:fill="FFFFFF"/>
                              <w:spacing w:after="0" w:line="240" w:lineRule="auto"/>
                              <w:ind w:left="360"/>
                              <w:textAlignment w:val="top"/>
                              <w:rPr>
                                <w:rStyle w:val="Hyperlink"/>
                                <w:color w:val="7030A0"/>
                                <w:u w:val="none"/>
                              </w:rPr>
                            </w:pPr>
                          </w:p>
                          <w:p w:rsidR="005B43D3" w:rsidRPr="00897AEE" w:rsidRDefault="005B43D3" w:rsidP="005B43D3">
                            <w:pPr>
                              <w:pStyle w:val="msobodytext4"/>
                              <w:widowControl w:val="0"/>
                              <w:spacing w:after="0" w:line="240" w:lineRule="auto"/>
                              <w:rPr>
                                <w:i w:val="0"/>
                                <w:iCs w:val="0"/>
                                <w:sz w:val="18"/>
                                <w:szCs w:val="22"/>
                                <w14:ligatures w14:val="none"/>
                              </w:rPr>
                            </w:pPr>
                            <w:r>
                              <w:rPr>
                                <w:szCs w:val="22"/>
                                <w14:ligatures w14:val="none"/>
                              </w:rPr>
                              <w:t>For more classes, please visit</w:t>
                            </w:r>
                            <w:r w:rsidRPr="005703B4">
                              <w:rPr>
                                <w:szCs w:val="22"/>
                                <w14:ligatures w14:val="none"/>
                              </w:rPr>
                              <w:t xml:space="preserve"> </w:t>
                            </w:r>
                          </w:p>
                          <w:p w:rsidR="005B43D3" w:rsidRPr="00BC7F32" w:rsidRDefault="005B43D3" w:rsidP="005B43D3">
                            <w:pPr>
                              <w:widowControl w:val="0"/>
                              <w:spacing w:after="0"/>
                              <w:rPr>
                                <w:i/>
                                <w:color w:val="7030A0"/>
                                <w:sz w:val="21"/>
                                <w:szCs w:val="21"/>
                              </w:rPr>
                            </w:pPr>
                            <w:r w:rsidRPr="00BC7F32">
                              <w:rPr>
                                <w:i/>
                                <w:color w:val="7030A0"/>
                                <w:sz w:val="21"/>
                                <w:szCs w:val="21"/>
                              </w:rPr>
                              <w:t> </w:t>
                            </w:r>
                            <w:hyperlink r:id="rId14" w:history="1">
                              <w:r w:rsidR="00016D57" w:rsidRPr="00BC7F32">
                                <w:rPr>
                                  <w:rStyle w:val="Hyperlink"/>
                                  <w:i/>
                                  <w:color w:val="7030A0"/>
                                  <w:sz w:val="21"/>
                                  <w:szCs w:val="21"/>
                                </w:rPr>
                                <w:t>http://www.washington.edu/research/learning</w:t>
                              </w:r>
                            </w:hyperlink>
                          </w:p>
                          <w:p w:rsidR="005B43D3" w:rsidRDefault="005B43D3" w:rsidP="005B43D3">
                            <w:pPr>
                              <w:widowControl w:val="0"/>
                              <w:rPr>
                                <w:sz w:val="21"/>
                              </w:rPr>
                            </w:pPr>
                          </w:p>
                          <w:p w:rsidR="005B43D3" w:rsidRDefault="005B43D3" w:rsidP="005B4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075C3" id="_x0000_s1028" type="#_x0000_t202" style="position:absolute;margin-left:0;margin-top:4.9pt;width:247.2pt;height:194.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" strokecolor="#f5c159" strokeweight="2.25pt">
                <v:shadow on="t" color="black" opacity="26214f" origin="-.5,-.5" offset=".74836mm,.74836mm"/>
                <v:textbox>
                  <w:txbxContent>
                    <w:p w:rsidR="005B43D3" w:rsidRDefault="005B43D3" w:rsidP="005B43D3">
                      <w:pPr>
                        <w:spacing w:line="240" w:lineRule="auto"/>
                        <w:jc w:val="center"/>
                        <w:rPr>
                          <w:rFonts w:ascii="Verdana" w:hAnsi="Verdana"/>
                          <w:b/>
                          <w:sz w:val="28"/>
                        </w:rPr>
                      </w:pPr>
                      <w:r w:rsidRPr="00E715B6">
                        <w:rPr>
                          <w:rFonts w:ascii="Verdana" w:hAnsi="Verdana"/>
                          <w:b/>
                          <w:sz w:val="28"/>
                        </w:rPr>
                        <w:t xml:space="preserve">Training Available       </w:t>
                      </w:r>
                      <w:r w:rsidR="007B2A99">
                        <w:rPr>
                          <w:rFonts w:ascii="Verdana" w:hAnsi="Verdana"/>
                          <w:b/>
                          <w:sz w:val="28"/>
                        </w:rPr>
                        <w:t xml:space="preserve">  </w:t>
                      </w:r>
                      <w:r w:rsidR="00A30586">
                        <w:rPr>
                          <w:rFonts w:ascii="Verdana" w:hAnsi="Verdana"/>
                          <w:b/>
                          <w:sz w:val="28"/>
                        </w:rPr>
                        <w:t xml:space="preserve"> </w:t>
                      </w:r>
                      <w:r w:rsidR="00D25373">
                        <w:rPr>
                          <w:rFonts w:ascii="Verdana" w:hAnsi="Verdana"/>
                          <w:b/>
                          <w:sz w:val="28"/>
                        </w:rPr>
                        <w:t xml:space="preserve"> </w:t>
                      </w:r>
                      <w:r w:rsidR="007B2A99">
                        <w:rPr>
                          <w:rFonts w:ascii="Verdana" w:hAnsi="Verdana"/>
                          <w:b/>
                          <w:sz w:val="28"/>
                        </w:rPr>
                        <w:t xml:space="preserve"> </w:t>
                      </w:r>
                      <w:r w:rsidR="009B1788">
                        <w:rPr>
                          <w:rFonts w:ascii="Verdana" w:hAnsi="Verdana"/>
                          <w:b/>
                          <w:sz w:val="28"/>
                        </w:rPr>
                        <w:t xml:space="preserve"> </w:t>
                      </w:r>
                      <w:r w:rsidR="00EB5D26">
                        <w:rPr>
                          <w:rFonts w:ascii="Verdana" w:hAnsi="Verdana"/>
                          <w:b/>
                          <w:sz w:val="28"/>
                        </w:rPr>
                        <w:t>August-September</w:t>
                      </w:r>
                    </w:p>
                    <w:p w:rsidR="005B43D3" w:rsidRPr="00976132" w:rsidRDefault="005B43D3" w:rsidP="005B43D3">
                      <w:pPr>
                        <w:spacing w:line="240" w:lineRule="auto"/>
                        <w:jc w:val="center"/>
                        <w:rPr>
                          <w:rFonts w:ascii="Verdana" w:hAnsi="Verdana"/>
                          <w:b/>
                          <w:i/>
                        </w:rPr>
                      </w:pPr>
                      <w:r w:rsidRPr="00976132">
                        <w:rPr>
                          <w:i/>
                          <w:sz w:val="18"/>
                        </w:rPr>
                        <w:t>Select the title of any of the following courses to register.</w:t>
                      </w:r>
                    </w:p>
                    <w:p w:rsidR="00BC7F32" w:rsidRPr="00BC7F32" w:rsidRDefault="00567B65" w:rsidP="009B1788">
                      <w:pPr>
                        <w:pStyle w:val="ListParagraph"/>
                        <w:numPr>
                          <w:ilvl w:val="0"/>
                          <w:numId w:val="9"/>
                        </w:numPr>
                        <w:shd w:val="clear" w:color="auto" w:fill="FFFFFF"/>
                        <w:spacing w:after="0" w:line="240" w:lineRule="auto"/>
                        <w:textAlignment w:val="top"/>
                        <w:rPr>
                          <w:color w:val="7030A0"/>
                        </w:rPr>
                      </w:pPr>
                      <w:hyperlink r:id="rId15" w:history="1">
                        <w:r w:rsidR="00BC7F32" w:rsidRPr="00BC7F32">
                          <w:rPr>
                            <w:rStyle w:val="Hyperlink"/>
                            <w:color w:val="7030A0"/>
                          </w:rPr>
                          <w:t>Salary Limitations - Salary Cap</w:t>
                        </w:r>
                      </w:hyperlink>
                    </w:p>
                    <w:p w:rsidR="00BC7F32" w:rsidRPr="00BC7F32" w:rsidRDefault="00567B65" w:rsidP="005B43D3">
                      <w:pPr>
                        <w:pStyle w:val="ListParagraph"/>
                        <w:numPr>
                          <w:ilvl w:val="0"/>
                          <w:numId w:val="9"/>
                        </w:numPr>
                        <w:shd w:val="clear" w:color="auto" w:fill="FFFFFF"/>
                        <w:spacing w:after="0" w:line="240" w:lineRule="auto"/>
                        <w:textAlignment w:val="top"/>
                        <w:rPr>
                          <w:color w:val="7030A0"/>
                        </w:rPr>
                      </w:pPr>
                      <w:hyperlink r:id="rId16" w:history="1">
                        <w:r w:rsidR="00BC7F32" w:rsidRPr="00BC7F32">
                          <w:rPr>
                            <w:rStyle w:val="Hyperlink"/>
                            <w:color w:val="7030A0"/>
                          </w:rPr>
                          <w:t>Modifying an FEC Using Comments and Adjusting Cost Sharing</w:t>
                        </w:r>
                      </w:hyperlink>
                    </w:p>
                    <w:p w:rsidR="00A93F8B" w:rsidRPr="00BC7F32" w:rsidRDefault="00567B65" w:rsidP="005B43D3">
                      <w:pPr>
                        <w:pStyle w:val="ListParagraph"/>
                        <w:numPr>
                          <w:ilvl w:val="0"/>
                          <w:numId w:val="9"/>
                        </w:numPr>
                        <w:shd w:val="clear" w:color="auto" w:fill="FFFFFF"/>
                        <w:spacing w:after="0" w:line="240" w:lineRule="auto"/>
                        <w:textAlignment w:val="top"/>
                        <w:rPr>
                          <w:color w:val="7030A0"/>
                        </w:rPr>
                      </w:pPr>
                      <w:hyperlink r:id="rId17" w:history="1">
                        <w:r w:rsidR="00BC7F32" w:rsidRPr="00BC7F32">
                          <w:rPr>
                            <w:rStyle w:val="Hyperlink"/>
                            <w:color w:val="7030A0"/>
                          </w:rPr>
                          <w:t>Modifying an FEC, Change Outside eFECS and Recertifications</w:t>
                        </w:r>
                      </w:hyperlink>
                    </w:p>
                    <w:p w:rsidR="00BC7F32" w:rsidRPr="00BC7F32" w:rsidRDefault="00BC7F32" w:rsidP="00BC7F32">
                      <w:pPr>
                        <w:pStyle w:val="ListParagraph"/>
                        <w:shd w:val="clear" w:color="auto" w:fill="FFFFFF"/>
                        <w:spacing w:after="0" w:line="240" w:lineRule="auto"/>
                        <w:ind w:left="360"/>
                        <w:textAlignment w:val="top"/>
                        <w:rPr>
                          <w:rStyle w:val="Hyperlink"/>
                          <w:color w:val="7030A0"/>
                          <w:u w:val="none"/>
                        </w:rPr>
                      </w:pPr>
                    </w:p>
                    <w:p w:rsidR="005B43D3" w:rsidRPr="00897AEE" w:rsidRDefault="005B43D3" w:rsidP="005B43D3">
                      <w:pPr>
                        <w:pStyle w:val="msobodytext4"/>
                        <w:widowControl w:val="0"/>
                        <w:spacing w:after="0" w:line="240" w:lineRule="auto"/>
                        <w:rPr>
                          <w:i w:val="0"/>
                          <w:iCs w:val="0"/>
                          <w:sz w:val="18"/>
                          <w:szCs w:val="22"/>
                          <w14:ligatures w14:val="none"/>
                        </w:rPr>
                      </w:pPr>
                      <w:r>
                        <w:rPr>
                          <w:szCs w:val="22"/>
                          <w14:ligatures w14:val="none"/>
                        </w:rPr>
                        <w:t>For more classes, please visit</w:t>
                      </w:r>
                      <w:r w:rsidRPr="005703B4">
                        <w:rPr>
                          <w:szCs w:val="22"/>
                          <w14:ligatures w14:val="none"/>
                        </w:rPr>
                        <w:t xml:space="preserve"> </w:t>
                      </w:r>
                    </w:p>
                    <w:p w:rsidR="005B43D3" w:rsidRPr="00BC7F32" w:rsidRDefault="005B43D3" w:rsidP="005B43D3">
                      <w:pPr>
                        <w:widowControl w:val="0"/>
                        <w:spacing w:after="0"/>
                        <w:rPr>
                          <w:i/>
                          <w:color w:val="7030A0"/>
                          <w:sz w:val="21"/>
                          <w:szCs w:val="21"/>
                        </w:rPr>
                      </w:pPr>
                      <w:r w:rsidRPr="00BC7F32">
                        <w:rPr>
                          <w:i/>
                          <w:color w:val="7030A0"/>
                          <w:sz w:val="21"/>
                          <w:szCs w:val="21"/>
                        </w:rPr>
                        <w:t> </w:t>
                      </w:r>
                      <w:hyperlink r:id="rId18" w:history="1">
                        <w:r w:rsidR="00016D57" w:rsidRPr="00BC7F32">
                          <w:rPr>
                            <w:rStyle w:val="Hyperlink"/>
                            <w:i/>
                            <w:color w:val="7030A0"/>
                            <w:sz w:val="21"/>
                            <w:szCs w:val="21"/>
                          </w:rPr>
                          <w:t>http://www.washington.edu/research/learning</w:t>
                        </w:r>
                      </w:hyperlink>
                    </w:p>
                    <w:p w:rsidR="005B43D3" w:rsidRDefault="005B43D3" w:rsidP="005B43D3">
                      <w:pPr>
                        <w:widowControl w:val="0"/>
                        <w:rPr>
                          <w:sz w:val="21"/>
                        </w:rPr>
                      </w:pPr>
                    </w:p>
                    <w:p w:rsidR="005B43D3" w:rsidRDefault="005B43D3" w:rsidP="005B43D3"/>
                  </w:txbxContent>
                </v:textbox>
                <w10:wrap anchorx="margin"/>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A93F8B" w:rsidRDefault="00C44A5C" w:rsidP="006E51C2">
      <w:pPr>
        <w:rPr>
          <w:noProof/>
        </w:rPr>
      </w:pPr>
      <w:r w:rsidRPr="00F30325">
        <w:rPr>
          <w:rFonts w:ascii="Copperplate Gothic Bold" w:hAnsi="Copperplate Gothic Bold"/>
          <w:noProof/>
        </w:rPr>
        <mc:AlternateContent>
          <mc:Choice Requires="wps">
            <w:drawing>
              <wp:anchor distT="0" distB="0" distL="114300" distR="114300" simplePos="0" relativeHeight="251650047" behindDoc="0" locked="0" layoutInCell="1" allowOverlap="1" wp14:anchorId="48985202" wp14:editId="168EE840">
                <wp:simplePos x="0" y="0"/>
                <wp:positionH relativeFrom="column">
                  <wp:posOffset>932815</wp:posOffset>
                </wp:positionH>
                <wp:positionV relativeFrom="paragraph">
                  <wp:posOffset>163830</wp:posOffset>
                </wp:positionV>
                <wp:extent cx="2257425" cy="16097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609725"/>
                        </a:xfrm>
                        <a:prstGeom prst="rect">
                          <a:avLst/>
                        </a:prstGeom>
                        <a:solidFill>
                          <a:srgbClr val="FFFFFF"/>
                        </a:solidFill>
                        <a:ln w="9525">
                          <a:noFill/>
                          <a:miter lim="800000"/>
                          <a:headEnd/>
                          <a:tailEnd/>
                        </a:ln>
                      </wps:spPr>
                      <wps:txbx>
                        <w:txbxContent>
                          <w:p w:rsidR="00A1664A" w:rsidRDefault="00BB36CF" w:rsidP="00915A4C">
                            <w:pPr>
                              <w:widowControl w:val="0"/>
                              <w:spacing w:after="0" w:line="240" w:lineRule="auto"/>
                            </w:pPr>
                            <w:r>
                              <w:t>FEC’s for calendar cycle 1/1/2016 – 6/30/2016</w:t>
                            </w:r>
                            <w:r w:rsidR="00BC7F32">
                              <w:t xml:space="preserve"> </w:t>
                            </w:r>
                            <w:r w:rsidR="002018F6">
                              <w:t>have been</w:t>
                            </w:r>
                            <w:r w:rsidR="00BC7F32">
                              <w:t xml:space="preserve"> released! Please process all adjustments (OSETs, cost share</w:t>
                            </w:r>
                            <w:r w:rsidR="002018F6">
                              <w:t>,</w:t>
                            </w:r>
                            <w:r w:rsidR="00BC7F32">
                              <w:t xml:space="preserve"> comments</w:t>
                            </w:r>
                            <w:r w:rsidR="002018F6">
                              <w:t>,</w:t>
                            </w:r>
                            <w:r w:rsidR="00BC7F32">
                              <w:t xml:space="preserve"> etc.) </w:t>
                            </w:r>
                            <w:r w:rsidR="00BC7F32" w:rsidRPr="00885DDC">
                              <w:rPr>
                                <w:b/>
                                <w:u w:val="single"/>
                              </w:rPr>
                              <w:t>before</w:t>
                            </w:r>
                            <w:r w:rsidR="00BC7F32">
                              <w:t xml:space="preserve"> faculty certify. Contact </w:t>
                            </w:r>
                            <w:hyperlink r:id="rId19" w:history="1">
                              <w:r w:rsidR="00BC7F32" w:rsidRPr="00BC7F32">
                                <w:rPr>
                                  <w:rStyle w:val="Hyperlink"/>
                                  <w:color w:val="7030A0"/>
                                </w:rPr>
                                <w:t>efecs@uw.edu</w:t>
                              </w:r>
                            </w:hyperlink>
                            <w:r w:rsidR="00BC7F32" w:rsidRPr="00BC7F32">
                              <w:rPr>
                                <w:color w:val="7030A0"/>
                              </w:rPr>
                              <w:t xml:space="preserve"> </w:t>
                            </w:r>
                            <w:r w:rsidR="00BC7F32">
                              <w:t>if you need assistance. Notification will be sent to faculty members on 9/5/2016.</w:t>
                            </w: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Pr="00E32F3B" w:rsidRDefault="00A1664A" w:rsidP="00A1664A">
                            <w:pPr>
                              <w:widowControl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85202" id="_x0000_s1029" type="#_x0000_t202" style="position:absolute;margin-left:73.45pt;margin-top:12.9pt;width:177.75pt;height:126.7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13IgIAACM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" stroked="f">
                <v:textbox>
                  <w:txbxContent>
                    <w:p w:rsidR="00A1664A" w:rsidRDefault="00BB36CF" w:rsidP="00915A4C">
                      <w:pPr>
                        <w:widowControl w:val="0"/>
                        <w:spacing w:after="0" w:line="240" w:lineRule="auto"/>
                      </w:pPr>
                      <w:r>
                        <w:t>FEC’s for calendar cycle 1/1/2016 – 6/30/2016</w:t>
                      </w:r>
                      <w:r w:rsidR="00BC7F32">
                        <w:t xml:space="preserve"> </w:t>
                      </w:r>
                      <w:r w:rsidR="002018F6">
                        <w:t>have been</w:t>
                      </w:r>
                      <w:r w:rsidR="00BC7F32">
                        <w:t xml:space="preserve"> released! Please process all adjustments (OSETs, cost share</w:t>
                      </w:r>
                      <w:r w:rsidR="002018F6">
                        <w:t>,</w:t>
                      </w:r>
                      <w:r w:rsidR="00BC7F32">
                        <w:t xml:space="preserve"> comments</w:t>
                      </w:r>
                      <w:r w:rsidR="002018F6">
                        <w:t>,</w:t>
                      </w:r>
                      <w:r w:rsidR="00BC7F32">
                        <w:t xml:space="preserve"> etc.) </w:t>
                      </w:r>
                      <w:r w:rsidR="00BC7F32" w:rsidRPr="00885DDC">
                        <w:rPr>
                          <w:b/>
                          <w:u w:val="single"/>
                        </w:rPr>
                        <w:t>before</w:t>
                      </w:r>
                      <w:r w:rsidR="00BC7F32">
                        <w:t xml:space="preserve"> faculty certify. Contact </w:t>
                      </w:r>
                      <w:hyperlink r:id="rId20" w:history="1">
                        <w:r w:rsidR="00BC7F32" w:rsidRPr="00BC7F32">
                          <w:rPr>
                            <w:rStyle w:val="Hyperlink"/>
                            <w:color w:val="7030A0"/>
                          </w:rPr>
                          <w:t>efecs@uw.edu</w:t>
                        </w:r>
                      </w:hyperlink>
                      <w:r w:rsidR="00BC7F32" w:rsidRPr="00BC7F32">
                        <w:rPr>
                          <w:color w:val="7030A0"/>
                        </w:rPr>
                        <w:t xml:space="preserve"> </w:t>
                      </w:r>
                      <w:r w:rsidR="00BC7F32">
                        <w:t>if you need assistance. Notification will be sent to faculty members on 9/5/2016.</w:t>
                      </w: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Default="00A1664A" w:rsidP="00A1664A">
                      <w:pPr>
                        <w:widowControl w:val="0"/>
                        <w:spacing w:after="0" w:line="240" w:lineRule="auto"/>
                      </w:pPr>
                    </w:p>
                    <w:p w:rsidR="00A1664A" w:rsidRPr="00E32F3B" w:rsidRDefault="00A1664A" w:rsidP="00A1664A">
                      <w:pPr>
                        <w:widowControl w:val="0"/>
                        <w:spacing w:after="0" w:line="240" w:lineRule="auto"/>
                      </w:pPr>
                    </w:p>
                  </w:txbxContent>
                </v:textbox>
              </v:shape>
            </w:pict>
          </mc:Fallback>
        </mc:AlternateContent>
      </w:r>
      <w:r>
        <w:rPr>
          <w:rFonts w:ascii="Copperplate Gothic Bold" w:hAnsi="Copperplate Gothic Bold"/>
          <w:noProof/>
        </w:rPr>
        <mc:AlternateContent>
          <mc:Choice Requires="wps">
            <w:drawing>
              <wp:anchor distT="0" distB="0" distL="114300" distR="114300" simplePos="0" relativeHeight="251677696" behindDoc="0" locked="0" layoutInCell="1" allowOverlap="1" wp14:anchorId="39B0929C" wp14:editId="45F5487B">
                <wp:simplePos x="0" y="0"/>
                <wp:positionH relativeFrom="margin">
                  <wp:align>left</wp:align>
                </wp:positionH>
                <wp:positionV relativeFrom="paragraph">
                  <wp:posOffset>12065</wp:posOffset>
                </wp:positionV>
                <wp:extent cx="3219450" cy="2000250"/>
                <wp:effectExtent l="0" t="0" r="19050" b="19050"/>
                <wp:wrapNone/>
                <wp:docPr id="2" name="Teardrop 2"/>
                <wp:cNvGraphicFramePr/>
                <a:graphic xmlns:a="http://schemas.openxmlformats.org/drawingml/2006/main">
                  <a:graphicData uri="http://schemas.microsoft.com/office/word/2010/wordprocessingShape">
                    <wps:wsp>
                      <wps:cNvSpPr/>
                      <wps:spPr>
                        <a:xfrm>
                          <a:off x="0" y="0"/>
                          <a:ext cx="3219450" cy="200025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54403" id="Teardrop 2" o:spid="_x0000_s1026" style="position:absolute;margin-left:0;margin-top:.95pt;width:253.5pt;height:15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219450,200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" path="m,1000125c,447771,720698,,1609725,l3219450,r,1000125c3219450,1552479,2498752,2000250,1609725,2000250,720698,2000250,,1552479,,1000125xe" filled="f" strokecolor="#943634 [2405]" strokeweight="2pt">
                <v:path arrowok="t" o:connecttype="custom" o:connectlocs="0,1000125;1609725,0;3219450,0;3219450,1000125;1609725,2000250;0,1000125" o:connectangles="0,0,0,0,0,0"/>
                <w10:wrap anchorx="margin"/>
              </v:shape>
            </w:pict>
          </mc:Fallback>
        </mc:AlternateContent>
      </w:r>
    </w:p>
    <w:p w:rsidR="007E7E26" w:rsidRDefault="00C44A5C" w:rsidP="006E51C2">
      <w:pPr>
        <w:rPr>
          <w:noProof/>
        </w:rPr>
      </w:pPr>
      <w:r w:rsidRPr="00F30325">
        <w:rPr>
          <w:noProof/>
        </w:rPr>
        <w:drawing>
          <wp:anchor distT="0" distB="0" distL="114300" distR="114300" simplePos="0" relativeHeight="251678720" behindDoc="1" locked="0" layoutInCell="1" allowOverlap="1" wp14:anchorId="4BBC1F42" wp14:editId="0B07F8E0">
            <wp:simplePos x="0" y="0"/>
            <wp:positionH relativeFrom="margin">
              <wp:posOffset>38100</wp:posOffset>
            </wp:positionH>
            <wp:positionV relativeFrom="paragraph">
              <wp:posOffset>62865</wp:posOffset>
            </wp:positionV>
            <wp:extent cx="928370" cy="918845"/>
            <wp:effectExtent l="0" t="0" r="5080" b="0"/>
            <wp:wrapTight wrapText="bothSides">
              <wp:wrapPolygon edited="0">
                <wp:start x="8865" y="0"/>
                <wp:lineTo x="2216" y="896"/>
                <wp:lineTo x="0" y="2687"/>
                <wp:lineTo x="0" y="10300"/>
                <wp:lineTo x="1773" y="14330"/>
                <wp:lineTo x="1773" y="15226"/>
                <wp:lineTo x="9751" y="21048"/>
                <wp:lineTo x="11081" y="21048"/>
                <wp:lineTo x="15513" y="21048"/>
                <wp:lineTo x="21275" y="19704"/>
                <wp:lineTo x="21275" y="10300"/>
                <wp:lineTo x="19059" y="7165"/>
                <wp:lineTo x="20389" y="4030"/>
                <wp:lineTo x="19502" y="1343"/>
                <wp:lineTo x="16399" y="0"/>
                <wp:lineTo x="8865" y="0"/>
              </wp:wrapPolygon>
            </wp:wrapTight>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8370" cy="918845"/>
                    </a:xfrm>
                    <a:prstGeom prst="rect">
                      <a:avLst/>
                    </a:prstGeom>
                    <a:noFill/>
                    <a:extLst/>
                  </pic:spPr>
                </pic:pic>
              </a:graphicData>
            </a:graphic>
            <wp14:sizeRelH relativeFrom="page">
              <wp14:pctWidth>0</wp14:pctWidth>
            </wp14:sizeRelH>
            <wp14:sizeRelV relativeFrom="page">
              <wp14:pctHeight>0</wp14:pctHeight>
            </wp14:sizeRelV>
          </wp:anchor>
        </w:drawing>
      </w:r>
      <w:r w:rsidR="00A1664A">
        <w:rPr>
          <w:noProof/>
        </w:rPr>
        <w:t xml:space="preserve">                                                                                                               </w:t>
      </w:r>
    </w:p>
    <w:p w:rsidR="0001733A" w:rsidRPr="008444CE" w:rsidRDefault="0001733A" w:rsidP="006E51C2">
      <w:pPr>
        <w:rPr>
          <w:noProof/>
        </w:rPr>
      </w:pPr>
    </w:p>
    <w:sectPr w:rsidR="0001733A" w:rsidRPr="008444CE" w:rsidSect="007E7E2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C11"/>
      </v:shape>
    </w:pict>
  </w:numPicBullet>
  <w:abstractNum w:abstractNumId="0" w15:restartNumberingAfterBreak="0">
    <w:nsid w:val="0BB01367"/>
    <w:multiLevelType w:val="hybridMultilevel"/>
    <w:tmpl w:val="A734191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A28D8"/>
    <w:multiLevelType w:val="multilevel"/>
    <w:tmpl w:val="45E4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72290"/>
    <w:multiLevelType w:val="hybridMultilevel"/>
    <w:tmpl w:val="5568F24E"/>
    <w:lvl w:ilvl="0" w:tplc="2174E950">
      <w:start w:val="1"/>
      <w:numFmt w:val="bullet"/>
      <w:lvlText w:val="•"/>
      <w:lvlJc w:val="left"/>
      <w:pPr>
        <w:tabs>
          <w:tab w:val="num" w:pos="360"/>
        </w:tabs>
        <w:ind w:left="360" w:hanging="360"/>
      </w:pPr>
      <w:rPr>
        <w:rFonts w:ascii="Arial" w:hAnsi="Arial" w:hint="default"/>
      </w:rPr>
    </w:lvl>
    <w:lvl w:ilvl="1" w:tplc="3A08C5DA">
      <w:start w:val="1"/>
      <w:numFmt w:val="bullet"/>
      <w:lvlText w:val="•"/>
      <w:lvlJc w:val="left"/>
      <w:pPr>
        <w:tabs>
          <w:tab w:val="num" w:pos="1080"/>
        </w:tabs>
        <w:ind w:left="1080" w:hanging="360"/>
      </w:pPr>
      <w:rPr>
        <w:rFonts w:ascii="Arial" w:hAnsi="Arial" w:hint="default"/>
      </w:rPr>
    </w:lvl>
    <w:lvl w:ilvl="2" w:tplc="BFE2DD68">
      <w:start w:val="1"/>
      <w:numFmt w:val="bullet"/>
      <w:lvlText w:val="•"/>
      <w:lvlJc w:val="left"/>
      <w:pPr>
        <w:tabs>
          <w:tab w:val="num" w:pos="1800"/>
        </w:tabs>
        <w:ind w:left="1800" w:hanging="360"/>
      </w:pPr>
      <w:rPr>
        <w:rFonts w:ascii="Arial" w:hAnsi="Arial" w:hint="default"/>
      </w:rPr>
    </w:lvl>
    <w:lvl w:ilvl="3" w:tplc="8E08322A">
      <w:start w:val="62"/>
      <w:numFmt w:val="bullet"/>
      <w:lvlText w:val="–"/>
      <w:lvlJc w:val="left"/>
      <w:pPr>
        <w:tabs>
          <w:tab w:val="num" w:pos="2520"/>
        </w:tabs>
        <w:ind w:left="2520" w:hanging="360"/>
      </w:pPr>
      <w:rPr>
        <w:rFonts w:ascii="Arial" w:hAnsi="Arial" w:hint="default"/>
      </w:rPr>
    </w:lvl>
    <w:lvl w:ilvl="4" w:tplc="C47EAA3C" w:tentative="1">
      <w:start w:val="1"/>
      <w:numFmt w:val="bullet"/>
      <w:lvlText w:val="•"/>
      <w:lvlJc w:val="left"/>
      <w:pPr>
        <w:tabs>
          <w:tab w:val="num" w:pos="3240"/>
        </w:tabs>
        <w:ind w:left="3240" w:hanging="360"/>
      </w:pPr>
      <w:rPr>
        <w:rFonts w:ascii="Arial" w:hAnsi="Arial" w:hint="default"/>
      </w:rPr>
    </w:lvl>
    <w:lvl w:ilvl="5" w:tplc="6FBC0600" w:tentative="1">
      <w:start w:val="1"/>
      <w:numFmt w:val="bullet"/>
      <w:lvlText w:val="•"/>
      <w:lvlJc w:val="left"/>
      <w:pPr>
        <w:tabs>
          <w:tab w:val="num" w:pos="3960"/>
        </w:tabs>
        <w:ind w:left="3960" w:hanging="360"/>
      </w:pPr>
      <w:rPr>
        <w:rFonts w:ascii="Arial" w:hAnsi="Arial" w:hint="default"/>
      </w:rPr>
    </w:lvl>
    <w:lvl w:ilvl="6" w:tplc="7968EA4C" w:tentative="1">
      <w:start w:val="1"/>
      <w:numFmt w:val="bullet"/>
      <w:lvlText w:val="•"/>
      <w:lvlJc w:val="left"/>
      <w:pPr>
        <w:tabs>
          <w:tab w:val="num" w:pos="4680"/>
        </w:tabs>
        <w:ind w:left="4680" w:hanging="360"/>
      </w:pPr>
      <w:rPr>
        <w:rFonts w:ascii="Arial" w:hAnsi="Arial" w:hint="default"/>
      </w:rPr>
    </w:lvl>
    <w:lvl w:ilvl="7" w:tplc="E9B8F01A" w:tentative="1">
      <w:start w:val="1"/>
      <w:numFmt w:val="bullet"/>
      <w:lvlText w:val="•"/>
      <w:lvlJc w:val="left"/>
      <w:pPr>
        <w:tabs>
          <w:tab w:val="num" w:pos="5400"/>
        </w:tabs>
        <w:ind w:left="5400" w:hanging="360"/>
      </w:pPr>
      <w:rPr>
        <w:rFonts w:ascii="Arial" w:hAnsi="Arial" w:hint="default"/>
      </w:rPr>
    </w:lvl>
    <w:lvl w:ilvl="8" w:tplc="A19C8E2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FB811C4"/>
    <w:multiLevelType w:val="hybridMultilevel"/>
    <w:tmpl w:val="9BAEDB86"/>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62086"/>
    <w:multiLevelType w:val="hybridMultilevel"/>
    <w:tmpl w:val="DBC0EC7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10167"/>
    <w:multiLevelType w:val="hybridMultilevel"/>
    <w:tmpl w:val="058E7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E3034F"/>
    <w:multiLevelType w:val="hybridMultilevel"/>
    <w:tmpl w:val="578E6B92"/>
    <w:lvl w:ilvl="0" w:tplc="D7F6B4EC">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C674BE"/>
    <w:multiLevelType w:val="hybridMultilevel"/>
    <w:tmpl w:val="EFAC22A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D5D7A"/>
    <w:multiLevelType w:val="hybridMultilevel"/>
    <w:tmpl w:val="98BE2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044CCD"/>
    <w:multiLevelType w:val="hybridMultilevel"/>
    <w:tmpl w:val="22BCE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C089D"/>
    <w:multiLevelType w:val="hybridMultilevel"/>
    <w:tmpl w:val="494655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F369E"/>
    <w:multiLevelType w:val="hybridMultilevel"/>
    <w:tmpl w:val="23306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F94E9C"/>
    <w:multiLevelType w:val="hybridMultilevel"/>
    <w:tmpl w:val="D87A5FF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77398"/>
    <w:multiLevelType w:val="hybridMultilevel"/>
    <w:tmpl w:val="CC8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55C97"/>
    <w:multiLevelType w:val="multilevel"/>
    <w:tmpl w:val="AA8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C26B0"/>
    <w:multiLevelType w:val="multilevel"/>
    <w:tmpl w:val="EE00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E6BDA"/>
    <w:multiLevelType w:val="hybridMultilevel"/>
    <w:tmpl w:val="BC98C35A"/>
    <w:lvl w:ilvl="0" w:tplc="8E08322A">
      <w:start w:val="62"/>
      <w:numFmt w:val="bullet"/>
      <w:lvlText w:val="–"/>
      <w:lvlPicBulletId w:val="0"/>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B3689"/>
    <w:multiLevelType w:val="hybridMultilevel"/>
    <w:tmpl w:val="77F43348"/>
    <w:lvl w:ilvl="0" w:tplc="26260124">
      <w:start w:val="1"/>
      <w:numFmt w:val="decimal"/>
      <w:lvlText w:val="%1."/>
      <w:lvlJc w:val="left"/>
      <w:pPr>
        <w:tabs>
          <w:tab w:val="num" w:pos="720"/>
        </w:tabs>
        <w:ind w:left="720" w:hanging="360"/>
      </w:pPr>
    </w:lvl>
    <w:lvl w:ilvl="1" w:tplc="2ED28E7C">
      <w:start w:val="73"/>
      <w:numFmt w:val="bullet"/>
      <w:lvlText w:val="•"/>
      <w:lvlJc w:val="left"/>
      <w:pPr>
        <w:tabs>
          <w:tab w:val="num" w:pos="1440"/>
        </w:tabs>
        <w:ind w:left="1440" w:hanging="360"/>
      </w:pPr>
      <w:rPr>
        <w:rFonts w:ascii="Arial" w:hAnsi="Arial" w:hint="default"/>
      </w:rPr>
    </w:lvl>
    <w:lvl w:ilvl="2" w:tplc="BBA41574">
      <w:start w:val="1"/>
      <w:numFmt w:val="decimal"/>
      <w:lvlText w:val="%3."/>
      <w:lvlJc w:val="left"/>
      <w:pPr>
        <w:tabs>
          <w:tab w:val="num" w:pos="2160"/>
        </w:tabs>
        <w:ind w:left="2160" w:hanging="360"/>
      </w:pPr>
    </w:lvl>
    <w:lvl w:ilvl="3" w:tplc="6052B936" w:tentative="1">
      <w:start w:val="1"/>
      <w:numFmt w:val="decimal"/>
      <w:lvlText w:val="%4."/>
      <w:lvlJc w:val="left"/>
      <w:pPr>
        <w:tabs>
          <w:tab w:val="num" w:pos="2880"/>
        </w:tabs>
        <w:ind w:left="2880" w:hanging="360"/>
      </w:pPr>
    </w:lvl>
    <w:lvl w:ilvl="4" w:tplc="C9AC54FE" w:tentative="1">
      <w:start w:val="1"/>
      <w:numFmt w:val="decimal"/>
      <w:lvlText w:val="%5."/>
      <w:lvlJc w:val="left"/>
      <w:pPr>
        <w:tabs>
          <w:tab w:val="num" w:pos="3600"/>
        </w:tabs>
        <w:ind w:left="3600" w:hanging="360"/>
      </w:pPr>
    </w:lvl>
    <w:lvl w:ilvl="5" w:tplc="03B0E476" w:tentative="1">
      <w:start w:val="1"/>
      <w:numFmt w:val="decimal"/>
      <w:lvlText w:val="%6."/>
      <w:lvlJc w:val="left"/>
      <w:pPr>
        <w:tabs>
          <w:tab w:val="num" w:pos="4320"/>
        </w:tabs>
        <w:ind w:left="4320" w:hanging="360"/>
      </w:pPr>
    </w:lvl>
    <w:lvl w:ilvl="6" w:tplc="3C7EFC4C" w:tentative="1">
      <w:start w:val="1"/>
      <w:numFmt w:val="decimal"/>
      <w:lvlText w:val="%7."/>
      <w:lvlJc w:val="left"/>
      <w:pPr>
        <w:tabs>
          <w:tab w:val="num" w:pos="5040"/>
        </w:tabs>
        <w:ind w:left="5040" w:hanging="360"/>
      </w:pPr>
    </w:lvl>
    <w:lvl w:ilvl="7" w:tplc="742056A2" w:tentative="1">
      <w:start w:val="1"/>
      <w:numFmt w:val="decimal"/>
      <w:lvlText w:val="%8."/>
      <w:lvlJc w:val="left"/>
      <w:pPr>
        <w:tabs>
          <w:tab w:val="num" w:pos="5760"/>
        </w:tabs>
        <w:ind w:left="5760" w:hanging="360"/>
      </w:pPr>
    </w:lvl>
    <w:lvl w:ilvl="8" w:tplc="E6E0E6C6" w:tentative="1">
      <w:start w:val="1"/>
      <w:numFmt w:val="decimal"/>
      <w:lvlText w:val="%9."/>
      <w:lvlJc w:val="left"/>
      <w:pPr>
        <w:tabs>
          <w:tab w:val="num" w:pos="6480"/>
        </w:tabs>
        <w:ind w:left="6480" w:hanging="360"/>
      </w:pPr>
    </w:lvl>
  </w:abstractNum>
  <w:abstractNum w:abstractNumId="22" w15:restartNumberingAfterBreak="0">
    <w:nsid w:val="6D5F13C9"/>
    <w:multiLevelType w:val="hybridMultilevel"/>
    <w:tmpl w:val="5E58F01E"/>
    <w:lvl w:ilvl="0" w:tplc="332EE58E">
      <w:start w:val="1"/>
      <w:numFmt w:val="bullet"/>
      <w:lvlText w:val="–"/>
      <w:lvlJc w:val="left"/>
      <w:pPr>
        <w:tabs>
          <w:tab w:val="num" w:pos="720"/>
        </w:tabs>
        <w:ind w:left="720" w:hanging="360"/>
      </w:pPr>
      <w:rPr>
        <w:rFonts w:ascii="Arial" w:hAnsi="Arial" w:hint="default"/>
      </w:rPr>
    </w:lvl>
    <w:lvl w:ilvl="1" w:tplc="12BAECEA">
      <w:start w:val="1"/>
      <w:numFmt w:val="bullet"/>
      <w:lvlText w:val="–"/>
      <w:lvlJc w:val="left"/>
      <w:pPr>
        <w:tabs>
          <w:tab w:val="num" w:pos="1440"/>
        </w:tabs>
        <w:ind w:left="1440" w:hanging="360"/>
      </w:pPr>
      <w:rPr>
        <w:rFonts w:ascii="Arial" w:hAnsi="Arial" w:hint="default"/>
      </w:rPr>
    </w:lvl>
    <w:lvl w:ilvl="2" w:tplc="93581624" w:tentative="1">
      <w:start w:val="1"/>
      <w:numFmt w:val="bullet"/>
      <w:lvlText w:val="–"/>
      <w:lvlJc w:val="left"/>
      <w:pPr>
        <w:tabs>
          <w:tab w:val="num" w:pos="2160"/>
        </w:tabs>
        <w:ind w:left="2160" w:hanging="360"/>
      </w:pPr>
      <w:rPr>
        <w:rFonts w:ascii="Arial" w:hAnsi="Arial" w:hint="default"/>
      </w:rPr>
    </w:lvl>
    <w:lvl w:ilvl="3" w:tplc="D42E6F78" w:tentative="1">
      <w:start w:val="1"/>
      <w:numFmt w:val="bullet"/>
      <w:lvlText w:val="–"/>
      <w:lvlJc w:val="left"/>
      <w:pPr>
        <w:tabs>
          <w:tab w:val="num" w:pos="2880"/>
        </w:tabs>
        <w:ind w:left="2880" w:hanging="360"/>
      </w:pPr>
      <w:rPr>
        <w:rFonts w:ascii="Arial" w:hAnsi="Arial" w:hint="default"/>
      </w:rPr>
    </w:lvl>
    <w:lvl w:ilvl="4" w:tplc="BAEA2354" w:tentative="1">
      <w:start w:val="1"/>
      <w:numFmt w:val="bullet"/>
      <w:lvlText w:val="–"/>
      <w:lvlJc w:val="left"/>
      <w:pPr>
        <w:tabs>
          <w:tab w:val="num" w:pos="3600"/>
        </w:tabs>
        <w:ind w:left="3600" w:hanging="360"/>
      </w:pPr>
      <w:rPr>
        <w:rFonts w:ascii="Arial" w:hAnsi="Arial" w:hint="default"/>
      </w:rPr>
    </w:lvl>
    <w:lvl w:ilvl="5" w:tplc="C97AFD12" w:tentative="1">
      <w:start w:val="1"/>
      <w:numFmt w:val="bullet"/>
      <w:lvlText w:val="–"/>
      <w:lvlJc w:val="left"/>
      <w:pPr>
        <w:tabs>
          <w:tab w:val="num" w:pos="4320"/>
        </w:tabs>
        <w:ind w:left="4320" w:hanging="360"/>
      </w:pPr>
      <w:rPr>
        <w:rFonts w:ascii="Arial" w:hAnsi="Arial" w:hint="default"/>
      </w:rPr>
    </w:lvl>
    <w:lvl w:ilvl="6" w:tplc="29F4CAAA" w:tentative="1">
      <w:start w:val="1"/>
      <w:numFmt w:val="bullet"/>
      <w:lvlText w:val="–"/>
      <w:lvlJc w:val="left"/>
      <w:pPr>
        <w:tabs>
          <w:tab w:val="num" w:pos="5040"/>
        </w:tabs>
        <w:ind w:left="5040" w:hanging="360"/>
      </w:pPr>
      <w:rPr>
        <w:rFonts w:ascii="Arial" w:hAnsi="Arial" w:hint="default"/>
      </w:rPr>
    </w:lvl>
    <w:lvl w:ilvl="7" w:tplc="6966FCB0" w:tentative="1">
      <w:start w:val="1"/>
      <w:numFmt w:val="bullet"/>
      <w:lvlText w:val="–"/>
      <w:lvlJc w:val="left"/>
      <w:pPr>
        <w:tabs>
          <w:tab w:val="num" w:pos="5760"/>
        </w:tabs>
        <w:ind w:left="5760" w:hanging="360"/>
      </w:pPr>
      <w:rPr>
        <w:rFonts w:ascii="Arial" w:hAnsi="Arial" w:hint="default"/>
      </w:rPr>
    </w:lvl>
    <w:lvl w:ilvl="8" w:tplc="92B6C7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8B770D"/>
    <w:multiLevelType w:val="hybridMultilevel"/>
    <w:tmpl w:val="F1EE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3"/>
  </w:num>
  <w:num w:numId="4">
    <w:abstractNumId w:val="1"/>
  </w:num>
  <w:num w:numId="5">
    <w:abstractNumId w:val="14"/>
  </w:num>
  <w:num w:numId="6">
    <w:abstractNumId w:val="10"/>
  </w:num>
  <w:num w:numId="7">
    <w:abstractNumId w:val="7"/>
  </w:num>
  <w:num w:numId="8">
    <w:abstractNumId w:val="16"/>
  </w:num>
  <w:num w:numId="9">
    <w:abstractNumId w:val="15"/>
  </w:num>
  <w:num w:numId="10">
    <w:abstractNumId w:val="3"/>
  </w:num>
  <w:num w:numId="11">
    <w:abstractNumId w:val="6"/>
  </w:num>
  <w:num w:numId="12">
    <w:abstractNumId w:val="4"/>
  </w:num>
  <w:num w:numId="13">
    <w:abstractNumId w:val="20"/>
  </w:num>
  <w:num w:numId="14">
    <w:abstractNumId w:val="8"/>
  </w:num>
  <w:num w:numId="15">
    <w:abstractNumId w:val="5"/>
  </w:num>
  <w:num w:numId="16">
    <w:abstractNumId w:val="22"/>
  </w:num>
  <w:num w:numId="17">
    <w:abstractNumId w:val="21"/>
  </w:num>
  <w:num w:numId="18">
    <w:abstractNumId w:val="12"/>
  </w:num>
  <w:num w:numId="19">
    <w:abstractNumId w:val="23"/>
  </w:num>
  <w:num w:numId="20">
    <w:abstractNumId w:val="0"/>
  </w:num>
  <w:num w:numId="21">
    <w:abstractNumId w:val="2"/>
  </w:num>
  <w:num w:numId="22">
    <w:abstractNumId w:val="18"/>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A"/>
    <w:rsid w:val="00016D57"/>
    <w:rsid w:val="0001733A"/>
    <w:rsid w:val="00040BEE"/>
    <w:rsid w:val="0004763A"/>
    <w:rsid w:val="0005514F"/>
    <w:rsid w:val="00055C84"/>
    <w:rsid w:val="0006715F"/>
    <w:rsid w:val="00091403"/>
    <w:rsid w:val="00097553"/>
    <w:rsid w:val="000B7A12"/>
    <w:rsid w:val="000D67BC"/>
    <w:rsid w:val="000F6F21"/>
    <w:rsid w:val="001115A4"/>
    <w:rsid w:val="0014232F"/>
    <w:rsid w:val="00142A5A"/>
    <w:rsid w:val="0014381C"/>
    <w:rsid w:val="001517F0"/>
    <w:rsid w:val="00165ABC"/>
    <w:rsid w:val="0017081E"/>
    <w:rsid w:val="00170825"/>
    <w:rsid w:val="001A368E"/>
    <w:rsid w:val="001D63F8"/>
    <w:rsid w:val="001E02C9"/>
    <w:rsid w:val="002018F6"/>
    <w:rsid w:val="002145D3"/>
    <w:rsid w:val="00226783"/>
    <w:rsid w:val="002459DC"/>
    <w:rsid w:val="0026355E"/>
    <w:rsid w:val="0027747C"/>
    <w:rsid w:val="002836CD"/>
    <w:rsid w:val="00286054"/>
    <w:rsid w:val="00290873"/>
    <w:rsid w:val="002A2D4E"/>
    <w:rsid w:val="002A45AD"/>
    <w:rsid w:val="002B5FDE"/>
    <w:rsid w:val="002B7C2E"/>
    <w:rsid w:val="002B7D28"/>
    <w:rsid w:val="002C66AD"/>
    <w:rsid w:val="002D1CC5"/>
    <w:rsid w:val="002E583D"/>
    <w:rsid w:val="002F0BD2"/>
    <w:rsid w:val="002F1AB6"/>
    <w:rsid w:val="003200B7"/>
    <w:rsid w:val="00334236"/>
    <w:rsid w:val="00362B00"/>
    <w:rsid w:val="00374099"/>
    <w:rsid w:val="003A5E2B"/>
    <w:rsid w:val="003B10B0"/>
    <w:rsid w:val="003C450F"/>
    <w:rsid w:val="003D1A1C"/>
    <w:rsid w:val="003D52A6"/>
    <w:rsid w:val="003E1D4C"/>
    <w:rsid w:val="003F6036"/>
    <w:rsid w:val="00401B4D"/>
    <w:rsid w:val="00401B6B"/>
    <w:rsid w:val="0041502C"/>
    <w:rsid w:val="00421A67"/>
    <w:rsid w:val="00433311"/>
    <w:rsid w:val="00451DF9"/>
    <w:rsid w:val="004B11E1"/>
    <w:rsid w:val="004B22B5"/>
    <w:rsid w:val="004B29FE"/>
    <w:rsid w:val="004C6BE8"/>
    <w:rsid w:val="004E0890"/>
    <w:rsid w:val="004E7D6C"/>
    <w:rsid w:val="00531347"/>
    <w:rsid w:val="005346EE"/>
    <w:rsid w:val="005426DE"/>
    <w:rsid w:val="00567B65"/>
    <w:rsid w:val="005703B4"/>
    <w:rsid w:val="0059621C"/>
    <w:rsid w:val="005A7448"/>
    <w:rsid w:val="005A7B02"/>
    <w:rsid w:val="005B43D3"/>
    <w:rsid w:val="005D1706"/>
    <w:rsid w:val="005D1FA0"/>
    <w:rsid w:val="00623F2C"/>
    <w:rsid w:val="0063278D"/>
    <w:rsid w:val="0065082D"/>
    <w:rsid w:val="006538F4"/>
    <w:rsid w:val="00681E80"/>
    <w:rsid w:val="006855AB"/>
    <w:rsid w:val="006A05E8"/>
    <w:rsid w:val="006A48F0"/>
    <w:rsid w:val="006C662F"/>
    <w:rsid w:val="006D6942"/>
    <w:rsid w:val="006E51C2"/>
    <w:rsid w:val="00702051"/>
    <w:rsid w:val="0070251E"/>
    <w:rsid w:val="00743442"/>
    <w:rsid w:val="00766F29"/>
    <w:rsid w:val="00775996"/>
    <w:rsid w:val="007916D7"/>
    <w:rsid w:val="007B2A99"/>
    <w:rsid w:val="007C31D9"/>
    <w:rsid w:val="007D2EEC"/>
    <w:rsid w:val="007E7E26"/>
    <w:rsid w:val="007F5775"/>
    <w:rsid w:val="007F6A8B"/>
    <w:rsid w:val="007F777D"/>
    <w:rsid w:val="00811BA1"/>
    <w:rsid w:val="008444CE"/>
    <w:rsid w:val="008704CC"/>
    <w:rsid w:val="00885DDC"/>
    <w:rsid w:val="00897497"/>
    <w:rsid w:val="00897AEE"/>
    <w:rsid w:val="008B17E5"/>
    <w:rsid w:val="008C79D9"/>
    <w:rsid w:val="008D390C"/>
    <w:rsid w:val="008D4C23"/>
    <w:rsid w:val="008E6D5E"/>
    <w:rsid w:val="00902E79"/>
    <w:rsid w:val="00915A4C"/>
    <w:rsid w:val="0093799A"/>
    <w:rsid w:val="00983910"/>
    <w:rsid w:val="009A4CCC"/>
    <w:rsid w:val="009A64DF"/>
    <w:rsid w:val="009B1788"/>
    <w:rsid w:val="009B50F1"/>
    <w:rsid w:val="009D66BB"/>
    <w:rsid w:val="00A05E51"/>
    <w:rsid w:val="00A1664A"/>
    <w:rsid w:val="00A30586"/>
    <w:rsid w:val="00A36B72"/>
    <w:rsid w:val="00A3782F"/>
    <w:rsid w:val="00A4584B"/>
    <w:rsid w:val="00A5044F"/>
    <w:rsid w:val="00A7010F"/>
    <w:rsid w:val="00A74358"/>
    <w:rsid w:val="00A76669"/>
    <w:rsid w:val="00A93F8B"/>
    <w:rsid w:val="00A94CED"/>
    <w:rsid w:val="00A95892"/>
    <w:rsid w:val="00AD651B"/>
    <w:rsid w:val="00AF1AE8"/>
    <w:rsid w:val="00AF7ACC"/>
    <w:rsid w:val="00B058A1"/>
    <w:rsid w:val="00B170FB"/>
    <w:rsid w:val="00B44D62"/>
    <w:rsid w:val="00B710F0"/>
    <w:rsid w:val="00BB36CF"/>
    <w:rsid w:val="00BB63ED"/>
    <w:rsid w:val="00BC7F32"/>
    <w:rsid w:val="00BD2219"/>
    <w:rsid w:val="00BF1A90"/>
    <w:rsid w:val="00C0674E"/>
    <w:rsid w:val="00C11D58"/>
    <w:rsid w:val="00C1792A"/>
    <w:rsid w:val="00C34EBA"/>
    <w:rsid w:val="00C44A5C"/>
    <w:rsid w:val="00C648B0"/>
    <w:rsid w:val="00C87A8E"/>
    <w:rsid w:val="00C95F51"/>
    <w:rsid w:val="00CE2E91"/>
    <w:rsid w:val="00CE7BC4"/>
    <w:rsid w:val="00D05F12"/>
    <w:rsid w:val="00D25373"/>
    <w:rsid w:val="00D716BF"/>
    <w:rsid w:val="00D93317"/>
    <w:rsid w:val="00DE284C"/>
    <w:rsid w:val="00E309A6"/>
    <w:rsid w:val="00E32F3B"/>
    <w:rsid w:val="00E37926"/>
    <w:rsid w:val="00E46E57"/>
    <w:rsid w:val="00E53FA4"/>
    <w:rsid w:val="00E61084"/>
    <w:rsid w:val="00E64748"/>
    <w:rsid w:val="00E9774A"/>
    <w:rsid w:val="00EA7EA1"/>
    <w:rsid w:val="00EB4272"/>
    <w:rsid w:val="00EB5D26"/>
    <w:rsid w:val="00ED6E89"/>
    <w:rsid w:val="00ED76FD"/>
    <w:rsid w:val="00ED783D"/>
    <w:rsid w:val="00EE33E7"/>
    <w:rsid w:val="00EE4776"/>
    <w:rsid w:val="00EF5579"/>
    <w:rsid w:val="00F014DB"/>
    <w:rsid w:val="00F03F9F"/>
    <w:rsid w:val="00F30325"/>
    <w:rsid w:val="00F44286"/>
    <w:rsid w:val="00F67405"/>
    <w:rsid w:val="00F74C6D"/>
    <w:rsid w:val="00F83E45"/>
    <w:rsid w:val="00F924BB"/>
    <w:rsid w:val="00FA3972"/>
    <w:rsid w:val="00FB2200"/>
    <w:rsid w:val="00FB314B"/>
    <w:rsid w:val="00FB3CA4"/>
    <w:rsid w:val="00FB67EE"/>
    <w:rsid w:val="00FD6A3F"/>
    <w:rsid w:val="00FD7735"/>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B1F5739-0E2D-4147-8A85-7732D75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8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paragraph" w:customStyle="1" w:styleId="Default">
    <w:name w:val="Default"/>
    <w:rsid w:val="00C34EBA"/>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508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8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082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055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50F"/>
    <w:rPr>
      <w:b/>
      <w:bCs/>
    </w:rPr>
  </w:style>
  <w:style w:type="character" w:styleId="Emphasis">
    <w:name w:val="Emphasis"/>
    <w:basedOn w:val="DefaultParagraphFont"/>
    <w:uiPriority w:val="20"/>
    <w:qFormat/>
    <w:rsid w:val="003C4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025">
      <w:bodyDiv w:val="1"/>
      <w:marLeft w:val="0"/>
      <w:marRight w:val="0"/>
      <w:marTop w:val="0"/>
      <w:marBottom w:val="0"/>
      <w:divBdr>
        <w:top w:val="none" w:sz="0" w:space="0" w:color="auto"/>
        <w:left w:val="none" w:sz="0" w:space="0" w:color="auto"/>
        <w:bottom w:val="none" w:sz="0" w:space="0" w:color="auto"/>
        <w:right w:val="none" w:sz="0" w:space="0" w:color="auto"/>
      </w:divBdr>
      <w:divsChild>
        <w:div w:id="185213486">
          <w:marLeft w:val="1800"/>
          <w:marRight w:val="0"/>
          <w:marTop w:val="115"/>
          <w:marBottom w:val="0"/>
          <w:divBdr>
            <w:top w:val="none" w:sz="0" w:space="0" w:color="auto"/>
            <w:left w:val="none" w:sz="0" w:space="0" w:color="auto"/>
            <w:bottom w:val="none" w:sz="0" w:space="0" w:color="auto"/>
            <w:right w:val="none" w:sz="0" w:space="0" w:color="auto"/>
          </w:divBdr>
        </w:div>
        <w:div w:id="1628003722">
          <w:marLeft w:val="1800"/>
          <w:marRight w:val="0"/>
          <w:marTop w:val="115"/>
          <w:marBottom w:val="0"/>
          <w:divBdr>
            <w:top w:val="none" w:sz="0" w:space="0" w:color="auto"/>
            <w:left w:val="none" w:sz="0" w:space="0" w:color="auto"/>
            <w:bottom w:val="none" w:sz="0" w:space="0" w:color="auto"/>
            <w:right w:val="none" w:sz="0" w:space="0" w:color="auto"/>
          </w:divBdr>
        </w:div>
        <w:div w:id="1945385162">
          <w:marLeft w:val="1800"/>
          <w:marRight w:val="0"/>
          <w:marTop w:val="115"/>
          <w:marBottom w:val="0"/>
          <w:divBdr>
            <w:top w:val="none" w:sz="0" w:space="0" w:color="auto"/>
            <w:left w:val="none" w:sz="0" w:space="0" w:color="auto"/>
            <w:bottom w:val="none" w:sz="0" w:space="0" w:color="auto"/>
            <w:right w:val="none" w:sz="0" w:space="0" w:color="auto"/>
          </w:divBdr>
        </w:div>
        <w:div w:id="690686580">
          <w:marLeft w:val="1800"/>
          <w:marRight w:val="0"/>
          <w:marTop w:val="115"/>
          <w:marBottom w:val="0"/>
          <w:divBdr>
            <w:top w:val="none" w:sz="0" w:space="0" w:color="auto"/>
            <w:left w:val="none" w:sz="0" w:space="0" w:color="auto"/>
            <w:bottom w:val="none" w:sz="0" w:space="0" w:color="auto"/>
            <w:right w:val="none" w:sz="0" w:space="0" w:color="auto"/>
          </w:divBdr>
        </w:div>
        <w:div w:id="2114856748">
          <w:marLeft w:val="2520"/>
          <w:marRight w:val="0"/>
          <w:marTop w:val="96"/>
          <w:marBottom w:val="0"/>
          <w:divBdr>
            <w:top w:val="none" w:sz="0" w:space="0" w:color="auto"/>
            <w:left w:val="none" w:sz="0" w:space="0" w:color="auto"/>
            <w:bottom w:val="none" w:sz="0" w:space="0" w:color="auto"/>
            <w:right w:val="none" w:sz="0" w:space="0" w:color="auto"/>
          </w:divBdr>
        </w:div>
        <w:div w:id="487943990">
          <w:marLeft w:val="1800"/>
          <w:marRight w:val="0"/>
          <w:marTop w:val="115"/>
          <w:marBottom w:val="0"/>
          <w:divBdr>
            <w:top w:val="none" w:sz="0" w:space="0" w:color="auto"/>
            <w:left w:val="none" w:sz="0" w:space="0" w:color="auto"/>
            <w:bottom w:val="none" w:sz="0" w:space="0" w:color="auto"/>
            <w:right w:val="none" w:sz="0" w:space="0" w:color="auto"/>
          </w:divBdr>
        </w:div>
        <w:div w:id="1851988933">
          <w:marLeft w:val="1800"/>
          <w:marRight w:val="0"/>
          <w:marTop w:val="115"/>
          <w:marBottom w:val="0"/>
          <w:divBdr>
            <w:top w:val="none" w:sz="0" w:space="0" w:color="auto"/>
            <w:left w:val="none" w:sz="0" w:space="0" w:color="auto"/>
            <w:bottom w:val="none" w:sz="0" w:space="0" w:color="auto"/>
            <w:right w:val="none" w:sz="0" w:space="0" w:color="auto"/>
          </w:divBdr>
        </w:div>
        <w:div w:id="1301113376">
          <w:marLeft w:val="2520"/>
          <w:marRight w:val="0"/>
          <w:marTop w:val="86"/>
          <w:marBottom w:val="0"/>
          <w:divBdr>
            <w:top w:val="none" w:sz="0" w:space="0" w:color="auto"/>
            <w:left w:val="none" w:sz="0" w:space="0" w:color="auto"/>
            <w:bottom w:val="none" w:sz="0" w:space="0" w:color="auto"/>
            <w:right w:val="none" w:sz="0" w:space="0" w:color="auto"/>
          </w:divBdr>
        </w:div>
      </w:divsChild>
    </w:div>
    <w:div w:id="98449977">
      <w:bodyDiv w:val="1"/>
      <w:marLeft w:val="0"/>
      <w:marRight w:val="0"/>
      <w:marTop w:val="0"/>
      <w:marBottom w:val="0"/>
      <w:divBdr>
        <w:top w:val="none" w:sz="0" w:space="0" w:color="auto"/>
        <w:left w:val="none" w:sz="0" w:space="0" w:color="auto"/>
        <w:bottom w:val="none" w:sz="0" w:space="0" w:color="auto"/>
        <w:right w:val="none" w:sz="0" w:space="0" w:color="auto"/>
      </w:divBdr>
    </w:div>
    <w:div w:id="117336004">
      <w:bodyDiv w:val="1"/>
      <w:marLeft w:val="0"/>
      <w:marRight w:val="0"/>
      <w:marTop w:val="0"/>
      <w:marBottom w:val="0"/>
      <w:divBdr>
        <w:top w:val="none" w:sz="0" w:space="0" w:color="auto"/>
        <w:left w:val="none" w:sz="0" w:space="0" w:color="auto"/>
        <w:bottom w:val="none" w:sz="0" w:space="0" w:color="auto"/>
        <w:right w:val="none" w:sz="0" w:space="0" w:color="auto"/>
      </w:divBdr>
    </w:div>
    <w:div w:id="270942210">
      <w:bodyDiv w:val="1"/>
      <w:marLeft w:val="0"/>
      <w:marRight w:val="0"/>
      <w:marTop w:val="0"/>
      <w:marBottom w:val="0"/>
      <w:divBdr>
        <w:top w:val="none" w:sz="0" w:space="0" w:color="auto"/>
        <w:left w:val="none" w:sz="0" w:space="0" w:color="auto"/>
        <w:bottom w:val="none" w:sz="0" w:space="0" w:color="auto"/>
        <w:right w:val="none" w:sz="0" w:space="0" w:color="auto"/>
      </w:divBdr>
      <w:divsChild>
        <w:div w:id="887380739">
          <w:marLeft w:val="1800"/>
          <w:marRight w:val="0"/>
          <w:marTop w:val="115"/>
          <w:marBottom w:val="0"/>
          <w:divBdr>
            <w:top w:val="none" w:sz="0" w:space="0" w:color="auto"/>
            <w:left w:val="none" w:sz="0" w:space="0" w:color="auto"/>
            <w:bottom w:val="none" w:sz="0" w:space="0" w:color="auto"/>
            <w:right w:val="none" w:sz="0" w:space="0" w:color="auto"/>
          </w:divBdr>
        </w:div>
        <w:div w:id="1509952824">
          <w:marLeft w:val="1800"/>
          <w:marRight w:val="0"/>
          <w:marTop w:val="115"/>
          <w:marBottom w:val="0"/>
          <w:divBdr>
            <w:top w:val="none" w:sz="0" w:space="0" w:color="auto"/>
            <w:left w:val="none" w:sz="0" w:space="0" w:color="auto"/>
            <w:bottom w:val="none" w:sz="0" w:space="0" w:color="auto"/>
            <w:right w:val="none" w:sz="0" w:space="0" w:color="auto"/>
          </w:divBdr>
        </w:div>
        <w:div w:id="1394502794">
          <w:marLeft w:val="1800"/>
          <w:marRight w:val="0"/>
          <w:marTop w:val="115"/>
          <w:marBottom w:val="0"/>
          <w:divBdr>
            <w:top w:val="none" w:sz="0" w:space="0" w:color="auto"/>
            <w:left w:val="none" w:sz="0" w:space="0" w:color="auto"/>
            <w:bottom w:val="none" w:sz="0" w:space="0" w:color="auto"/>
            <w:right w:val="none" w:sz="0" w:space="0" w:color="auto"/>
          </w:divBdr>
        </w:div>
        <w:div w:id="496195076">
          <w:marLeft w:val="1800"/>
          <w:marRight w:val="0"/>
          <w:marTop w:val="115"/>
          <w:marBottom w:val="0"/>
          <w:divBdr>
            <w:top w:val="none" w:sz="0" w:space="0" w:color="auto"/>
            <w:left w:val="none" w:sz="0" w:space="0" w:color="auto"/>
            <w:bottom w:val="none" w:sz="0" w:space="0" w:color="auto"/>
            <w:right w:val="none" w:sz="0" w:space="0" w:color="auto"/>
          </w:divBdr>
        </w:div>
        <w:div w:id="1266033609">
          <w:marLeft w:val="2520"/>
          <w:marRight w:val="0"/>
          <w:marTop w:val="96"/>
          <w:marBottom w:val="0"/>
          <w:divBdr>
            <w:top w:val="none" w:sz="0" w:space="0" w:color="auto"/>
            <w:left w:val="none" w:sz="0" w:space="0" w:color="auto"/>
            <w:bottom w:val="none" w:sz="0" w:space="0" w:color="auto"/>
            <w:right w:val="none" w:sz="0" w:space="0" w:color="auto"/>
          </w:divBdr>
        </w:div>
        <w:div w:id="481895297">
          <w:marLeft w:val="1800"/>
          <w:marRight w:val="0"/>
          <w:marTop w:val="115"/>
          <w:marBottom w:val="0"/>
          <w:divBdr>
            <w:top w:val="none" w:sz="0" w:space="0" w:color="auto"/>
            <w:left w:val="none" w:sz="0" w:space="0" w:color="auto"/>
            <w:bottom w:val="none" w:sz="0" w:space="0" w:color="auto"/>
            <w:right w:val="none" w:sz="0" w:space="0" w:color="auto"/>
          </w:divBdr>
        </w:div>
        <w:div w:id="1969624069">
          <w:marLeft w:val="1800"/>
          <w:marRight w:val="0"/>
          <w:marTop w:val="115"/>
          <w:marBottom w:val="0"/>
          <w:divBdr>
            <w:top w:val="none" w:sz="0" w:space="0" w:color="auto"/>
            <w:left w:val="none" w:sz="0" w:space="0" w:color="auto"/>
            <w:bottom w:val="none" w:sz="0" w:space="0" w:color="auto"/>
            <w:right w:val="none" w:sz="0" w:space="0" w:color="auto"/>
          </w:divBdr>
        </w:div>
        <w:div w:id="434177311">
          <w:marLeft w:val="2520"/>
          <w:marRight w:val="0"/>
          <w:marTop w:val="86"/>
          <w:marBottom w:val="0"/>
          <w:divBdr>
            <w:top w:val="none" w:sz="0" w:space="0" w:color="auto"/>
            <w:left w:val="none" w:sz="0" w:space="0" w:color="auto"/>
            <w:bottom w:val="none" w:sz="0" w:space="0" w:color="auto"/>
            <w:right w:val="none" w:sz="0" w:space="0" w:color="auto"/>
          </w:divBdr>
        </w:div>
      </w:divsChild>
    </w:div>
    <w:div w:id="336806794">
      <w:bodyDiv w:val="1"/>
      <w:marLeft w:val="0"/>
      <w:marRight w:val="0"/>
      <w:marTop w:val="0"/>
      <w:marBottom w:val="0"/>
      <w:divBdr>
        <w:top w:val="none" w:sz="0" w:space="0" w:color="auto"/>
        <w:left w:val="none" w:sz="0" w:space="0" w:color="auto"/>
        <w:bottom w:val="none" w:sz="0" w:space="0" w:color="auto"/>
        <w:right w:val="none" w:sz="0" w:space="0" w:color="auto"/>
      </w:divBdr>
    </w:div>
    <w:div w:id="383022485">
      <w:bodyDiv w:val="1"/>
      <w:marLeft w:val="0"/>
      <w:marRight w:val="0"/>
      <w:marTop w:val="0"/>
      <w:marBottom w:val="0"/>
      <w:divBdr>
        <w:top w:val="none" w:sz="0" w:space="0" w:color="auto"/>
        <w:left w:val="none" w:sz="0" w:space="0" w:color="auto"/>
        <w:bottom w:val="none" w:sz="0" w:space="0" w:color="auto"/>
        <w:right w:val="none" w:sz="0" w:space="0" w:color="auto"/>
      </w:divBdr>
    </w:div>
    <w:div w:id="459226866">
      <w:bodyDiv w:val="1"/>
      <w:marLeft w:val="0"/>
      <w:marRight w:val="0"/>
      <w:marTop w:val="0"/>
      <w:marBottom w:val="0"/>
      <w:divBdr>
        <w:top w:val="none" w:sz="0" w:space="0" w:color="auto"/>
        <w:left w:val="none" w:sz="0" w:space="0" w:color="auto"/>
        <w:bottom w:val="none" w:sz="0" w:space="0" w:color="auto"/>
        <w:right w:val="none" w:sz="0" w:space="0" w:color="auto"/>
      </w:divBdr>
      <w:divsChild>
        <w:div w:id="1345355125">
          <w:marLeft w:val="576"/>
          <w:marRight w:val="0"/>
          <w:marTop w:val="80"/>
          <w:marBottom w:val="0"/>
          <w:divBdr>
            <w:top w:val="none" w:sz="0" w:space="0" w:color="auto"/>
            <w:left w:val="none" w:sz="0" w:space="0" w:color="auto"/>
            <w:bottom w:val="none" w:sz="0" w:space="0" w:color="auto"/>
            <w:right w:val="none" w:sz="0" w:space="0" w:color="auto"/>
          </w:divBdr>
        </w:div>
      </w:divsChild>
    </w:div>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711348315">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963464716">
      <w:bodyDiv w:val="1"/>
      <w:marLeft w:val="0"/>
      <w:marRight w:val="0"/>
      <w:marTop w:val="0"/>
      <w:marBottom w:val="0"/>
      <w:divBdr>
        <w:top w:val="none" w:sz="0" w:space="0" w:color="auto"/>
        <w:left w:val="none" w:sz="0" w:space="0" w:color="auto"/>
        <w:bottom w:val="none" w:sz="0" w:space="0" w:color="auto"/>
        <w:right w:val="none" w:sz="0" w:space="0" w:color="auto"/>
      </w:divBdr>
    </w:div>
    <w:div w:id="1017466949">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254626418">
      <w:bodyDiv w:val="1"/>
      <w:marLeft w:val="0"/>
      <w:marRight w:val="0"/>
      <w:marTop w:val="0"/>
      <w:marBottom w:val="0"/>
      <w:divBdr>
        <w:top w:val="none" w:sz="0" w:space="0" w:color="auto"/>
        <w:left w:val="none" w:sz="0" w:space="0" w:color="auto"/>
        <w:bottom w:val="none" w:sz="0" w:space="0" w:color="auto"/>
        <w:right w:val="none" w:sz="0" w:space="0" w:color="auto"/>
      </w:divBdr>
    </w:div>
    <w:div w:id="1316447919">
      <w:bodyDiv w:val="1"/>
      <w:marLeft w:val="0"/>
      <w:marRight w:val="0"/>
      <w:marTop w:val="0"/>
      <w:marBottom w:val="0"/>
      <w:divBdr>
        <w:top w:val="none" w:sz="0" w:space="0" w:color="auto"/>
        <w:left w:val="none" w:sz="0" w:space="0" w:color="auto"/>
        <w:bottom w:val="none" w:sz="0" w:space="0" w:color="auto"/>
        <w:right w:val="none" w:sz="0" w:space="0" w:color="auto"/>
      </w:divBdr>
      <w:divsChild>
        <w:div w:id="1721055752">
          <w:marLeft w:val="1166"/>
          <w:marRight w:val="0"/>
          <w:marTop w:val="125"/>
          <w:marBottom w:val="0"/>
          <w:divBdr>
            <w:top w:val="none" w:sz="0" w:space="0" w:color="auto"/>
            <w:left w:val="none" w:sz="0" w:space="0" w:color="auto"/>
            <w:bottom w:val="none" w:sz="0" w:space="0" w:color="auto"/>
            <w:right w:val="none" w:sz="0" w:space="0" w:color="auto"/>
          </w:divBdr>
        </w:div>
      </w:divsChild>
    </w:div>
    <w:div w:id="1379666098">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1528986917">
      <w:bodyDiv w:val="1"/>
      <w:marLeft w:val="0"/>
      <w:marRight w:val="0"/>
      <w:marTop w:val="0"/>
      <w:marBottom w:val="0"/>
      <w:divBdr>
        <w:top w:val="none" w:sz="0" w:space="0" w:color="auto"/>
        <w:left w:val="none" w:sz="0" w:space="0" w:color="auto"/>
        <w:bottom w:val="none" w:sz="0" w:space="0" w:color="auto"/>
        <w:right w:val="none" w:sz="0" w:space="0" w:color="auto"/>
      </w:divBdr>
    </w:div>
    <w:div w:id="1602756226">
      <w:bodyDiv w:val="1"/>
      <w:marLeft w:val="0"/>
      <w:marRight w:val="0"/>
      <w:marTop w:val="0"/>
      <w:marBottom w:val="0"/>
      <w:divBdr>
        <w:top w:val="none" w:sz="0" w:space="0" w:color="auto"/>
        <w:left w:val="none" w:sz="0" w:space="0" w:color="auto"/>
        <w:bottom w:val="none" w:sz="0" w:space="0" w:color="auto"/>
        <w:right w:val="none" w:sz="0" w:space="0" w:color="auto"/>
      </w:divBdr>
      <w:divsChild>
        <w:div w:id="2050491314">
          <w:marLeft w:val="0"/>
          <w:marRight w:val="0"/>
          <w:marTop w:val="0"/>
          <w:marBottom w:val="0"/>
          <w:divBdr>
            <w:top w:val="none" w:sz="0" w:space="0" w:color="auto"/>
            <w:left w:val="none" w:sz="0" w:space="0" w:color="auto"/>
            <w:bottom w:val="none" w:sz="0" w:space="0" w:color="auto"/>
            <w:right w:val="none" w:sz="0" w:space="0" w:color="auto"/>
          </w:divBdr>
          <w:divsChild>
            <w:div w:id="1009211421">
              <w:marLeft w:val="0"/>
              <w:marRight w:val="0"/>
              <w:marTop w:val="0"/>
              <w:marBottom w:val="0"/>
              <w:divBdr>
                <w:top w:val="none" w:sz="0" w:space="0" w:color="auto"/>
                <w:left w:val="none" w:sz="0" w:space="0" w:color="auto"/>
                <w:bottom w:val="none" w:sz="0" w:space="0" w:color="auto"/>
                <w:right w:val="none" w:sz="0" w:space="0" w:color="auto"/>
              </w:divBdr>
              <w:divsChild>
                <w:div w:id="828247813">
                  <w:marLeft w:val="0"/>
                  <w:marRight w:val="0"/>
                  <w:marTop w:val="0"/>
                  <w:marBottom w:val="0"/>
                  <w:divBdr>
                    <w:top w:val="none" w:sz="0" w:space="0" w:color="auto"/>
                    <w:left w:val="none" w:sz="0" w:space="0" w:color="auto"/>
                    <w:bottom w:val="none" w:sz="0" w:space="0" w:color="auto"/>
                    <w:right w:val="none" w:sz="0" w:space="0" w:color="auto"/>
                  </w:divBdr>
                  <w:divsChild>
                    <w:div w:id="78261579">
                      <w:marLeft w:val="0"/>
                      <w:marRight w:val="0"/>
                      <w:marTop w:val="0"/>
                      <w:marBottom w:val="0"/>
                      <w:divBdr>
                        <w:top w:val="none" w:sz="0" w:space="0" w:color="auto"/>
                        <w:left w:val="none" w:sz="0" w:space="0" w:color="auto"/>
                        <w:bottom w:val="none" w:sz="0" w:space="0" w:color="auto"/>
                        <w:right w:val="none" w:sz="0" w:space="0" w:color="auto"/>
                      </w:divBdr>
                      <w:divsChild>
                        <w:div w:id="1969817264">
                          <w:marLeft w:val="0"/>
                          <w:marRight w:val="-100"/>
                          <w:marTop w:val="0"/>
                          <w:marBottom w:val="0"/>
                          <w:divBdr>
                            <w:top w:val="none" w:sz="0" w:space="0" w:color="auto"/>
                            <w:left w:val="none" w:sz="0" w:space="0" w:color="auto"/>
                            <w:bottom w:val="none" w:sz="0" w:space="0" w:color="auto"/>
                            <w:right w:val="none" w:sz="0" w:space="0" w:color="auto"/>
                          </w:divBdr>
                          <w:divsChild>
                            <w:div w:id="632904023">
                              <w:marLeft w:val="0"/>
                              <w:marRight w:val="0"/>
                              <w:marTop w:val="0"/>
                              <w:marBottom w:val="0"/>
                              <w:divBdr>
                                <w:top w:val="none" w:sz="0" w:space="0" w:color="auto"/>
                                <w:left w:val="single" w:sz="6" w:space="11" w:color="E3D07F"/>
                                <w:bottom w:val="none" w:sz="0" w:space="0" w:color="auto"/>
                                <w:right w:val="none" w:sz="0" w:space="0" w:color="auto"/>
                              </w:divBdr>
                              <w:divsChild>
                                <w:div w:id="388842145">
                                  <w:marLeft w:val="0"/>
                                  <w:marRight w:val="0"/>
                                  <w:marTop w:val="0"/>
                                  <w:marBottom w:val="300"/>
                                  <w:divBdr>
                                    <w:top w:val="none" w:sz="0" w:space="0" w:color="auto"/>
                                    <w:left w:val="none" w:sz="0" w:space="0" w:color="auto"/>
                                    <w:bottom w:val="none" w:sz="0" w:space="0" w:color="auto"/>
                                    <w:right w:val="none" w:sz="0" w:space="0" w:color="auto"/>
                                  </w:divBdr>
                                  <w:divsChild>
                                    <w:div w:id="1497920297">
                                      <w:marLeft w:val="0"/>
                                      <w:marRight w:val="0"/>
                                      <w:marTop w:val="0"/>
                                      <w:marBottom w:val="0"/>
                                      <w:divBdr>
                                        <w:top w:val="none" w:sz="0" w:space="0" w:color="auto"/>
                                        <w:left w:val="none" w:sz="0" w:space="0" w:color="auto"/>
                                        <w:bottom w:val="none" w:sz="0" w:space="0" w:color="auto"/>
                                        <w:right w:val="none" w:sz="0" w:space="0" w:color="auto"/>
                                      </w:divBdr>
                                      <w:divsChild>
                                        <w:div w:id="1467503477">
                                          <w:marLeft w:val="0"/>
                                          <w:marRight w:val="0"/>
                                          <w:marTop w:val="0"/>
                                          <w:marBottom w:val="0"/>
                                          <w:divBdr>
                                            <w:top w:val="none" w:sz="0" w:space="0" w:color="auto"/>
                                            <w:left w:val="none" w:sz="0" w:space="0" w:color="auto"/>
                                            <w:bottom w:val="none" w:sz="0" w:space="0" w:color="auto"/>
                                            <w:right w:val="none" w:sz="0" w:space="0" w:color="auto"/>
                                          </w:divBdr>
                                          <w:divsChild>
                                            <w:div w:id="320428384">
                                              <w:marLeft w:val="0"/>
                                              <w:marRight w:val="0"/>
                                              <w:marTop w:val="0"/>
                                              <w:marBottom w:val="0"/>
                                              <w:divBdr>
                                                <w:top w:val="none" w:sz="0" w:space="0" w:color="auto"/>
                                                <w:left w:val="none" w:sz="0" w:space="0" w:color="auto"/>
                                                <w:bottom w:val="none" w:sz="0" w:space="0" w:color="auto"/>
                                                <w:right w:val="none" w:sz="0" w:space="0" w:color="auto"/>
                                              </w:divBdr>
                                              <w:divsChild>
                                                <w:div w:id="1638410250">
                                                  <w:marLeft w:val="0"/>
                                                  <w:marRight w:val="0"/>
                                                  <w:marTop w:val="0"/>
                                                  <w:marBottom w:val="0"/>
                                                  <w:divBdr>
                                                    <w:top w:val="none" w:sz="0" w:space="0" w:color="auto"/>
                                                    <w:left w:val="none" w:sz="0" w:space="0" w:color="auto"/>
                                                    <w:bottom w:val="none" w:sz="0" w:space="0" w:color="auto"/>
                                                    <w:right w:val="none" w:sz="0" w:space="0" w:color="auto"/>
                                                  </w:divBdr>
                                                  <w:divsChild>
                                                    <w:div w:id="14238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519085">
      <w:bodyDiv w:val="1"/>
      <w:marLeft w:val="0"/>
      <w:marRight w:val="0"/>
      <w:marTop w:val="0"/>
      <w:marBottom w:val="0"/>
      <w:divBdr>
        <w:top w:val="none" w:sz="0" w:space="0" w:color="auto"/>
        <w:left w:val="none" w:sz="0" w:space="0" w:color="auto"/>
        <w:bottom w:val="none" w:sz="0" w:space="0" w:color="auto"/>
        <w:right w:val="none" w:sz="0" w:space="0" w:color="auto"/>
      </w:divBdr>
      <w:divsChild>
        <w:div w:id="1218055061">
          <w:marLeft w:val="360"/>
          <w:marRight w:val="0"/>
          <w:marTop w:val="200"/>
          <w:marBottom w:val="0"/>
          <w:divBdr>
            <w:top w:val="none" w:sz="0" w:space="0" w:color="auto"/>
            <w:left w:val="none" w:sz="0" w:space="0" w:color="auto"/>
            <w:bottom w:val="none" w:sz="0" w:space="0" w:color="auto"/>
            <w:right w:val="none" w:sz="0" w:space="0" w:color="auto"/>
          </w:divBdr>
        </w:div>
      </w:divsChild>
    </w:div>
    <w:div w:id="1738937279">
      <w:bodyDiv w:val="1"/>
      <w:marLeft w:val="0"/>
      <w:marRight w:val="0"/>
      <w:marTop w:val="0"/>
      <w:marBottom w:val="0"/>
      <w:divBdr>
        <w:top w:val="none" w:sz="0" w:space="0" w:color="auto"/>
        <w:left w:val="none" w:sz="0" w:space="0" w:color="auto"/>
        <w:bottom w:val="none" w:sz="0" w:space="0" w:color="auto"/>
        <w:right w:val="none" w:sz="0" w:space="0" w:color="auto"/>
      </w:divBdr>
    </w:div>
    <w:div w:id="1748264971">
      <w:bodyDiv w:val="1"/>
      <w:marLeft w:val="0"/>
      <w:marRight w:val="0"/>
      <w:marTop w:val="0"/>
      <w:marBottom w:val="0"/>
      <w:divBdr>
        <w:top w:val="none" w:sz="0" w:space="0" w:color="auto"/>
        <w:left w:val="none" w:sz="0" w:space="0" w:color="auto"/>
        <w:bottom w:val="none" w:sz="0" w:space="0" w:color="auto"/>
        <w:right w:val="none" w:sz="0" w:space="0" w:color="auto"/>
      </w:divBdr>
    </w:div>
    <w:div w:id="198045841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5-049.html" TargetMode="External"/><Relationship Id="rId13" Type="http://schemas.openxmlformats.org/officeDocument/2006/relationships/hyperlink" Target="https://uwresearch.gosignmeup.com/public/Course/browse?courseid=2762" TargetMode="External"/><Relationship Id="rId18" Type="http://schemas.openxmlformats.org/officeDocument/2006/relationships/hyperlink" Target="http://www.washington.edu/research/learning" TargetMode="Externa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https://biportal.uw.edu/" TargetMode="External"/><Relationship Id="rId12" Type="http://schemas.openxmlformats.org/officeDocument/2006/relationships/hyperlink" Target="https://uwresearch.gosignmeup.com/public/Course/browse?courseid=2760" TargetMode="External"/><Relationship Id="rId17" Type="http://schemas.openxmlformats.org/officeDocument/2006/relationships/hyperlink" Target="https://uwresearch.gosignmeup.com/public/Course/browse?courseid=2762" TargetMode="External"/><Relationship Id="rId2" Type="http://schemas.openxmlformats.org/officeDocument/2006/relationships/styles" Target="styles.xml"/><Relationship Id="rId16" Type="http://schemas.openxmlformats.org/officeDocument/2006/relationships/hyperlink" Target="https://uwresearch.gosignmeup.com/public/Course/browse?courseid=2760" TargetMode="External"/><Relationship Id="rId20" Type="http://schemas.openxmlformats.org/officeDocument/2006/relationships/hyperlink" Target="mailto:efecs@uw.edu" TargetMode="External"/><Relationship Id="rId1" Type="http://schemas.openxmlformats.org/officeDocument/2006/relationships/numbering" Target="numbering.xml"/><Relationship Id="rId6" Type="http://schemas.openxmlformats.org/officeDocument/2006/relationships/hyperlink" Target="https://biportal.uw.edu/" TargetMode="External"/><Relationship Id="rId11" Type="http://schemas.openxmlformats.org/officeDocument/2006/relationships/hyperlink" Target="https://uwresearch.gosignmeup.com/public/Course/browse?courseid=2771" TargetMode="External"/><Relationship Id="rId5" Type="http://schemas.openxmlformats.org/officeDocument/2006/relationships/image" Target="media/image2.wmf"/><Relationship Id="rId15" Type="http://schemas.openxmlformats.org/officeDocument/2006/relationships/hyperlink" Target="https://uwresearch.gosignmeup.com/public/Course/browse?courseid=2771" TargetMode="External"/><Relationship Id="rId23" Type="http://schemas.openxmlformats.org/officeDocument/2006/relationships/theme" Target="theme/theme1.xml"/><Relationship Id="rId10" Type="http://schemas.openxmlformats.org/officeDocument/2006/relationships/hyperlink" Target="http://grants.nih.gov/grants/guide/notice-files/NOT-OD-15-049.html" TargetMode="External"/><Relationship Id="rId19" Type="http://schemas.openxmlformats.org/officeDocument/2006/relationships/hyperlink" Target="mailto:efecs@uw.edu"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washington.edu/research/learnin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Ashby-Larrabee</dc:creator>
  <cp:lastModifiedBy>Stepanka Ruzickova</cp:lastModifiedBy>
  <cp:revision>2</cp:revision>
  <cp:lastPrinted>2016-05-27T21:24:00Z</cp:lastPrinted>
  <dcterms:created xsi:type="dcterms:W3CDTF">2016-08-24T20:58:00Z</dcterms:created>
  <dcterms:modified xsi:type="dcterms:W3CDTF">2016-08-24T20:58:00Z</dcterms:modified>
</cp:coreProperties>
</file>