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Pr="00044095" w:rsidRDefault="0001733A" w:rsidP="00044095">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62D41F5" wp14:editId="7148522E">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044095">
        <w:rPr>
          <w:rFonts w:ascii="Copperplate Gothic Bold" w:hAnsi="Copperplate Gothic Bold"/>
          <w:i/>
        </w:rPr>
        <w:t>December 201</w:t>
      </w:r>
      <w:r w:rsidR="00D02B8E">
        <w:rPr>
          <w:rFonts w:ascii="Copperplate Gothic Bold" w:hAnsi="Copperplate Gothic Bold"/>
          <w:i/>
        </w:rPr>
        <w:t>4</w:t>
      </w:r>
    </w:p>
    <w:p w:rsidR="00F30325" w:rsidRPr="00F30325" w:rsidRDefault="00F30325" w:rsidP="00F30325">
      <w:pPr>
        <w:rPr>
          <w:rFonts w:ascii="Copperplate Gothic Bold" w:hAnsi="Copperplate Gothic Bold"/>
        </w:rPr>
      </w:pPr>
    </w:p>
    <w:p w:rsidR="00F30325" w:rsidRPr="00F30325" w:rsidRDefault="00044095" w:rsidP="00F30325">
      <w:pPr>
        <w:rPr>
          <w:rFonts w:ascii="Copperplate Gothic Bold" w:hAnsi="Copperplate Gothic Bold"/>
        </w:rPr>
      </w:pPr>
      <w:r w:rsidRPr="0001733A">
        <w:rPr>
          <w:noProof/>
        </w:rPr>
        <mc:AlternateContent>
          <mc:Choice Requires="wps">
            <w:drawing>
              <wp:anchor distT="0" distB="0" distL="114300" distR="114300" simplePos="0" relativeHeight="251663360" behindDoc="0" locked="0" layoutInCell="1" allowOverlap="1" wp14:anchorId="70FB7498" wp14:editId="79B4EE6A">
                <wp:simplePos x="0" y="0"/>
                <wp:positionH relativeFrom="column">
                  <wp:posOffset>105229</wp:posOffset>
                </wp:positionH>
                <wp:positionV relativeFrom="paragraph">
                  <wp:posOffset>8618</wp:posOffset>
                </wp:positionV>
                <wp:extent cx="6589485" cy="320765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485" cy="3207657"/>
                        </a:xfrm>
                        <a:prstGeom prst="rect">
                          <a:avLst/>
                        </a:prstGeom>
                        <a:solidFill>
                          <a:srgbClr val="FFFFFF"/>
                        </a:solidFill>
                        <a:ln w="9525">
                          <a:noFill/>
                          <a:miter lim="800000"/>
                          <a:headEnd/>
                          <a:tailEnd/>
                        </a:ln>
                      </wps:spPr>
                      <wps:txbx>
                        <w:txbxContent>
                          <w:p w:rsidR="00C500A4" w:rsidRPr="00CB1202" w:rsidRDefault="00C500A4" w:rsidP="00C500A4">
                            <w:pPr>
                              <w:spacing w:line="240" w:lineRule="auto"/>
                              <w:rPr>
                                <w:rFonts w:ascii="Verdana" w:hAnsi="Verdana"/>
                                <w:b/>
                                <w:sz w:val="28"/>
                              </w:rPr>
                            </w:pPr>
                            <w:r w:rsidRPr="00CB1202">
                              <w:rPr>
                                <w:rFonts w:ascii="Verdana" w:hAnsi="Verdana"/>
                                <w:b/>
                                <w:sz w:val="28"/>
                              </w:rPr>
                              <w:t xml:space="preserve">NSF </w:t>
                            </w:r>
                            <w:r>
                              <w:rPr>
                                <w:rFonts w:ascii="Verdana" w:hAnsi="Verdana"/>
                                <w:b/>
                                <w:sz w:val="28"/>
                              </w:rPr>
                              <w:t xml:space="preserve">Allows </w:t>
                            </w:r>
                            <w:r w:rsidRPr="00CB1202">
                              <w:rPr>
                                <w:rFonts w:ascii="Verdana" w:hAnsi="Verdana"/>
                                <w:b/>
                                <w:sz w:val="28"/>
                              </w:rPr>
                              <w:t>Changes to Budgeted Amounts for Senior Personnel</w:t>
                            </w:r>
                          </w:p>
                          <w:p w:rsidR="00AE6D6A" w:rsidRPr="00D02B8E" w:rsidRDefault="00FA7BE7" w:rsidP="00C500A4">
                            <w:pPr>
                              <w:pStyle w:val="ListParagraph"/>
                              <w:spacing w:line="240" w:lineRule="auto"/>
                              <w:ind w:left="0"/>
                              <w:rPr>
                                <w:sz w:val="24"/>
                              </w:rPr>
                            </w:pPr>
                            <w:r w:rsidRPr="00D02B8E">
                              <w:rPr>
                                <w:sz w:val="24"/>
                              </w:rPr>
                              <w:t xml:space="preserve">The National Science Foundation (NSF) normally limits salary requested in the proposal budget for senior personnel to no more than two months of their regular yearly Institutional Base Salary (IBS). Salary is calculated based on a rate not in excess of the IBS divided by the number of months the faculty is paid. </w:t>
                            </w:r>
                          </w:p>
                          <w:p w:rsidR="00FA7BE7" w:rsidRPr="00D02B8E" w:rsidRDefault="00FA7BE7" w:rsidP="00C500A4">
                            <w:pPr>
                              <w:pStyle w:val="ListParagraph"/>
                              <w:spacing w:line="240" w:lineRule="auto"/>
                              <w:ind w:left="0"/>
                              <w:rPr>
                                <w:sz w:val="14"/>
                              </w:rPr>
                            </w:pPr>
                          </w:p>
                          <w:p w:rsidR="00FA7BE7" w:rsidRPr="00D02B8E" w:rsidRDefault="00FA7BE7" w:rsidP="00C500A4">
                            <w:pPr>
                              <w:pStyle w:val="ListParagraph"/>
                              <w:spacing w:line="240" w:lineRule="auto"/>
                              <w:ind w:left="0"/>
                              <w:rPr>
                                <w:sz w:val="24"/>
                              </w:rPr>
                            </w:pPr>
                            <w:r w:rsidRPr="00D02B8E">
                              <w:rPr>
                                <w:sz w:val="24"/>
                              </w:rPr>
                              <w:t xml:space="preserve">NSF will not fund over two months of an individual’s IBS. The recipient of the grant can, however, internally approve an increase or decrease in person months devoted to the project under normal re-budgeting authority.  This may result in senior personnel being paid over a period greater than two months. </w:t>
                            </w:r>
                          </w:p>
                          <w:p w:rsidR="00FA7BE7" w:rsidRPr="00D02B8E" w:rsidRDefault="00FA7BE7" w:rsidP="00C500A4">
                            <w:pPr>
                              <w:pStyle w:val="ListParagraph"/>
                              <w:spacing w:line="240" w:lineRule="auto"/>
                              <w:ind w:left="0"/>
                              <w:rPr>
                                <w:sz w:val="14"/>
                              </w:rPr>
                            </w:pPr>
                          </w:p>
                          <w:p w:rsidR="00FA7BE7" w:rsidRDefault="00FA7BE7" w:rsidP="00C500A4">
                            <w:pPr>
                              <w:pStyle w:val="ListParagraph"/>
                              <w:spacing w:line="240" w:lineRule="auto"/>
                              <w:ind w:left="0"/>
                              <w:rPr>
                                <w:sz w:val="24"/>
                              </w:rPr>
                            </w:pPr>
                            <w:r w:rsidRPr="00D02B8E">
                              <w:rPr>
                                <w:sz w:val="24"/>
                              </w:rPr>
                              <w:t xml:space="preserve">No prior approval from NSF is </w:t>
                            </w:r>
                            <w:r w:rsidR="00D02B8E" w:rsidRPr="00D02B8E">
                              <w:rPr>
                                <w:sz w:val="24"/>
                              </w:rPr>
                              <w:t>required;</w:t>
                            </w:r>
                            <w:r w:rsidRPr="00D02B8E">
                              <w:rPr>
                                <w:sz w:val="24"/>
                              </w:rPr>
                              <w:t xml:space="preserve"> however, care must be taken to ensure that the re-budgeting does not change the scope of the project. In this case the PI should submit a request for prior approval before re-budgeting. </w:t>
                            </w:r>
                            <w:r w:rsidR="00D02B8E" w:rsidRPr="00D02B8E">
                              <w:rPr>
                                <w:sz w:val="24"/>
                              </w:rPr>
                              <w:t xml:space="preserve">These requests should be directed through OSP for their concurrence. </w:t>
                            </w:r>
                          </w:p>
                          <w:p w:rsidR="00D02B8E" w:rsidRPr="00D02B8E" w:rsidRDefault="00D02B8E" w:rsidP="00C500A4">
                            <w:pPr>
                              <w:pStyle w:val="ListParagraph"/>
                              <w:spacing w:line="240" w:lineRule="auto"/>
                              <w:ind w:left="0"/>
                              <w:rPr>
                                <w:sz w:val="24"/>
                              </w:rPr>
                            </w:pPr>
                            <w:r>
                              <w:rPr>
                                <w:sz w:val="24"/>
                              </w:rPr>
                              <w:t xml:space="preserve">More information can be found on the 2015 NSF PAPP Guide. </w:t>
                            </w:r>
                            <w:hyperlink r:id="rId7" w:history="1">
                              <w:r w:rsidRPr="003365B3">
                                <w:rPr>
                                  <w:rStyle w:val="Hyperlink"/>
                                  <w:sz w:val="24"/>
                                </w:rPr>
                                <w:t>http://www.nsf.gov/pubs/policydocs/pappguide/nsf13001/gpg_index.jsp</w:t>
                              </w:r>
                            </w:hyperlink>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7pt;width:518.85pt;height:2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" stroked="f">
                <v:textbox>
                  <w:txbxContent>
                    <w:p w:rsidR="00C500A4" w:rsidRPr="00CB1202" w:rsidRDefault="00C500A4" w:rsidP="00C500A4">
                      <w:pPr>
                        <w:spacing w:line="240" w:lineRule="auto"/>
                        <w:rPr>
                          <w:rFonts w:ascii="Verdana" w:hAnsi="Verdana"/>
                          <w:b/>
                          <w:sz w:val="28"/>
                        </w:rPr>
                      </w:pPr>
                      <w:r w:rsidRPr="00CB1202">
                        <w:rPr>
                          <w:rFonts w:ascii="Verdana" w:hAnsi="Verdana"/>
                          <w:b/>
                          <w:sz w:val="28"/>
                        </w:rPr>
                        <w:t xml:space="preserve">NSF </w:t>
                      </w:r>
                      <w:r>
                        <w:rPr>
                          <w:rFonts w:ascii="Verdana" w:hAnsi="Verdana"/>
                          <w:b/>
                          <w:sz w:val="28"/>
                        </w:rPr>
                        <w:t xml:space="preserve">Allows </w:t>
                      </w:r>
                      <w:r w:rsidRPr="00CB1202">
                        <w:rPr>
                          <w:rFonts w:ascii="Verdana" w:hAnsi="Verdana"/>
                          <w:b/>
                          <w:sz w:val="28"/>
                        </w:rPr>
                        <w:t>Changes to Budgeted Amounts for Senior Personnel</w:t>
                      </w:r>
                    </w:p>
                    <w:p w:rsidR="00AE6D6A" w:rsidRPr="00D02B8E" w:rsidRDefault="00FA7BE7" w:rsidP="00C500A4">
                      <w:pPr>
                        <w:pStyle w:val="ListParagraph"/>
                        <w:spacing w:line="240" w:lineRule="auto"/>
                        <w:ind w:left="0"/>
                        <w:rPr>
                          <w:sz w:val="24"/>
                        </w:rPr>
                      </w:pPr>
                      <w:r w:rsidRPr="00D02B8E">
                        <w:rPr>
                          <w:sz w:val="24"/>
                        </w:rPr>
                        <w:t xml:space="preserve">The National Science Foundation (NSF) normally limits salary requested in the proposal budget for senior personnel to no more than two months of their regular yearly Institutional Base Salary (IBS). Salary is calculated based on a rate not in excess of the IBS divided by the number of months the faculty is paid. </w:t>
                      </w:r>
                    </w:p>
                    <w:p w:rsidR="00FA7BE7" w:rsidRPr="00D02B8E" w:rsidRDefault="00FA7BE7" w:rsidP="00C500A4">
                      <w:pPr>
                        <w:pStyle w:val="ListParagraph"/>
                        <w:spacing w:line="240" w:lineRule="auto"/>
                        <w:ind w:left="0"/>
                        <w:rPr>
                          <w:sz w:val="14"/>
                        </w:rPr>
                      </w:pPr>
                    </w:p>
                    <w:p w:rsidR="00FA7BE7" w:rsidRPr="00D02B8E" w:rsidRDefault="00FA7BE7" w:rsidP="00C500A4">
                      <w:pPr>
                        <w:pStyle w:val="ListParagraph"/>
                        <w:spacing w:line="240" w:lineRule="auto"/>
                        <w:ind w:left="0"/>
                        <w:rPr>
                          <w:sz w:val="24"/>
                        </w:rPr>
                      </w:pPr>
                      <w:r w:rsidRPr="00D02B8E">
                        <w:rPr>
                          <w:sz w:val="24"/>
                        </w:rPr>
                        <w:t xml:space="preserve">NSF will not fund over two months of an individual’s IBS. The recipient of the grant can, however, internally approve an increase or decrease in person months devoted to the project under normal re-budgeting authority.  This may result in senior personnel being paid over a period greater than two months. </w:t>
                      </w:r>
                    </w:p>
                    <w:p w:rsidR="00FA7BE7" w:rsidRPr="00D02B8E" w:rsidRDefault="00FA7BE7" w:rsidP="00C500A4">
                      <w:pPr>
                        <w:pStyle w:val="ListParagraph"/>
                        <w:spacing w:line="240" w:lineRule="auto"/>
                        <w:ind w:left="0"/>
                        <w:rPr>
                          <w:sz w:val="14"/>
                        </w:rPr>
                      </w:pPr>
                    </w:p>
                    <w:p w:rsidR="00FA7BE7" w:rsidRDefault="00FA7BE7" w:rsidP="00C500A4">
                      <w:pPr>
                        <w:pStyle w:val="ListParagraph"/>
                        <w:spacing w:line="240" w:lineRule="auto"/>
                        <w:ind w:left="0"/>
                        <w:rPr>
                          <w:sz w:val="24"/>
                        </w:rPr>
                      </w:pPr>
                      <w:r w:rsidRPr="00D02B8E">
                        <w:rPr>
                          <w:sz w:val="24"/>
                        </w:rPr>
                        <w:t xml:space="preserve">No prior approval from NSF is </w:t>
                      </w:r>
                      <w:r w:rsidR="00D02B8E" w:rsidRPr="00D02B8E">
                        <w:rPr>
                          <w:sz w:val="24"/>
                        </w:rPr>
                        <w:t>required;</w:t>
                      </w:r>
                      <w:r w:rsidRPr="00D02B8E">
                        <w:rPr>
                          <w:sz w:val="24"/>
                        </w:rPr>
                        <w:t xml:space="preserve"> however, care must be taken to ensure that the re-budgeting does not change the scope of the project. In this case the PI should submit a request for prior approval before re-budgeting. </w:t>
                      </w:r>
                      <w:r w:rsidR="00D02B8E" w:rsidRPr="00D02B8E">
                        <w:rPr>
                          <w:sz w:val="24"/>
                        </w:rPr>
                        <w:t xml:space="preserve">These requests should be directed through OSP for their concurrence. </w:t>
                      </w:r>
                    </w:p>
                    <w:p w:rsidR="00D02B8E" w:rsidRPr="00D02B8E" w:rsidRDefault="00D02B8E" w:rsidP="00C500A4">
                      <w:pPr>
                        <w:pStyle w:val="ListParagraph"/>
                        <w:spacing w:line="240" w:lineRule="auto"/>
                        <w:ind w:left="0"/>
                        <w:rPr>
                          <w:sz w:val="24"/>
                        </w:rPr>
                      </w:pPr>
                      <w:r>
                        <w:rPr>
                          <w:sz w:val="24"/>
                        </w:rPr>
                        <w:t xml:space="preserve">More information can be found on the 2015 NSF PAPP Guide. </w:t>
                      </w:r>
                      <w:hyperlink r:id="rId8" w:history="1">
                        <w:r w:rsidRPr="003365B3">
                          <w:rPr>
                            <w:rStyle w:val="Hyperlink"/>
                            <w:sz w:val="24"/>
                          </w:rPr>
                          <w:t>http://www.nsf.gov/pubs/policydocs/pappguide/nsf13001/gpg_index.jsp</w:t>
                        </w:r>
                      </w:hyperlink>
                      <w:r>
                        <w:rPr>
                          <w:sz w:val="24"/>
                        </w:rPr>
                        <w:t xml:space="preserve">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044095" w:rsidRDefault="00D02B8E"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0A5D7033" wp14:editId="3DA5F905">
                <wp:simplePos x="0" y="0"/>
                <wp:positionH relativeFrom="column">
                  <wp:posOffset>3522980</wp:posOffset>
                </wp:positionH>
                <wp:positionV relativeFrom="paragraph">
                  <wp:posOffset>75837</wp:posOffset>
                </wp:positionV>
                <wp:extent cx="3291840" cy="439039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390390"/>
                        </a:xfrm>
                        <a:prstGeom prst="rect">
                          <a:avLst/>
                        </a:prstGeom>
                        <a:solidFill>
                          <a:srgbClr val="FFFFFF"/>
                        </a:solidFill>
                        <a:ln w="9525">
                          <a:noFill/>
                          <a:miter lim="800000"/>
                          <a:headEnd/>
                          <a:tailEnd/>
                        </a:ln>
                      </wps:spPr>
                      <wps:txbx>
                        <w:txbxContent>
                          <w:p w:rsidR="00C500A4" w:rsidRDefault="00E4064E" w:rsidP="00C500A4">
                            <w:pPr>
                              <w:spacing w:line="240" w:lineRule="auto"/>
                              <w:rPr>
                                <w:rFonts w:ascii="Verdana" w:hAnsi="Verdana"/>
                                <w:b/>
                                <w:sz w:val="28"/>
                              </w:rPr>
                            </w:pPr>
                            <w:r>
                              <w:t xml:space="preserve"> </w:t>
                            </w:r>
                            <w:r w:rsidR="00C500A4">
                              <w:rPr>
                                <w:rFonts w:ascii="Verdana" w:hAnsi="Verdana"/>
                                <w:b/>
                                <w:sz w:val="28"/>
                              </w:rPr>
                              <w:t xml:space="preserve">CFR 220 (A-21), 215 (A110) Replaced by Uniform Guidance </w:t>
                            </w:r>
                          </w:p>
                          <w:p w:rsidR="00C500A4" w:rsidRPr="00D02B8E" w:rsidRDefault="00C500A4" w:rsidP="00C500A4">
                            <w:pPr>
                              <w:spacing w:line="240" w:lineRule="auto"/>
                              <w:rPr>
                                <w:sz w:val="24"/>
                              </w:rPr>
                            </w:pPr>
                            <w:r w:rsidRPr="00D02B8E">
                              <w:rPr>
                                <w:sz w:val="24"/>
                              </w:rPr>
                              <w:t xml:space="preserve">The Federal government is streamlining their guidance for Federal awards to ease administrative burdens. As a part of this endeavor, seven circulars will be combined into a Uniform Guidance including two that are critical guidance for effort reporting, CFR Part 220 (formerly A-21) and CFR Part 215 (formerly A-110). </w:t>
                            </w:r>
                          </w:p>
                          <w:p w:rsidR="00C500A4" w:rsidRPr="00D02B8E" w:rsidRDefault="00C500A4" w:rsidP="00C500A4">
                            <w:pPr>
                              <w:spacing w:line="240" w:lineRule="auto"/>
                              <w:rPr>
                                <w:sz w:val="24"/>
                              </w:rPr>
                            </w:pPr>
                            <w:r w:rsidRPr="00D02B8E">
                              <w:rPr>
                                <w:sz w:val="24"/>
                              </w:rPr>
                              <w:t xml:space="preserve">Changes that will impact effort reporting include: </w:t>
                            </w:r>
                          </w:p>
                          <w:p w:rsidR="00C500A4" w:rsidRPr="00D02B8E" w:rsidRDefault="00C500A4" w:rsidP="00C500A4">
                            <w:pPr>
                              <w:pStyle w:val="ListParagraph"/>
                              <w:numPr>
                                <w:ilvl w:val="0"/>
                                <w:numId w:val="7"/>
                              </w:numPr>
                              <w:spacing w:line="240" w:lineRule="auto"/>
                              <w:rPr>
                                <w:sz w:val="24"/>
                              </w:rPr>
                            </w:pPr>
                            <w:r w:rsidRPr="00D02B8E">
                              <w:rPr>
                                <w:sz w:val="24"/>
                              </w:rPr>
                              <w:t>Committed cost share will not be expected nor will it be used in merit review</w:t>
                            </w:r>
                          </w:p>
                          <w:p w:rsidR="00C500A4" w:rsidRPr="00D02B8E" w:rsidRDefault="00C500A4" w:rsidP="00C500A4">
                            <w:pPr>
                              <w:pStyle w:val="ListParagraph"/>
                              <w:numPr>
                                <w:ilvl w:val="0"/>
                                <w:numId w:val="7"/>
                              </w:numPr>
                              <w:spacing w:line="240" w:lineRule="auto"/>
                              <w:rPr>
                                <w:sz w:val="24"/>
                              </w:rPr>
                            </w:pPr>
                            <w:r w:rsidRPr="00D02B8E">
                              <w:rPr>
                                <w:sz w:val="24"/>
                              </w:rPr>
                              <w:t>Only mandatory cost share will be included in the organized research base</w:t>
                            </w:r>
                          </w:p>
                          <w:p w:rsidR="00C500A4" w:rsidRPr="00D02B8E" w:rsidRDefault="00C500A4" w:rsidP="00C500A4">
                            <w:pPr>
                              <w:spacing w:line="240" w:lineRule="auto"/>
                              <w:rPr>
                                <w:sz w:val="24"/>
                              </w:rPr>
                            </w:pPr>
                            <w:r w:rsidRPr="00D02B8E">
                              <w:rPr>
                                <w:sz w:val="24"/>
                              </w:rPr>
                              <w:t xml:space="preserve">Departments should have conversations with their faculty regarding committed cost sharing placed in proposals and work with OSP to see if including this type of cost sharing is even viable. </w:t>
                            </w:r>
                          </w:p>
                          <w:p w:rsidR="00C500A4" w:rsidRPr="00D02B8E" w:rsidRDefault="00C500A4" w:rsidP="00C500A4">
                            <w:pPr>
                              <w:spacing w:line="240" w:lineRule="auto"/>
                              <w:rPr>
                                <w:sz w:val="24"/>
                              </w:rPr>
                            </w:pPr>
                            <w:r w:rsidRPr="00D02B8E">
                              <w:rPr>
                                <w:sz w:val="24"/>
                              </w:rPr>
                              <w:t xml:space="preserve">Information about other changes resulting from the new Uniform Guidance that impact effort reporting will be communicated after the first of the year.  </w:t>
                            </w:r>
                          </w:p>
                          <w:p w:rsidR="00E4064E" w:rsidRDefault="00E40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4pt;margin-top:5.95pt;width:259.2pt;height:3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" stroked="f">
                <v:textbox>
                  <w:txbxContent>
                    <w:p w:rsidR="00C500A4" w:rsidRDefault="00E4064E" w:rsidP="00C500A4">
                      <w:pPr>
                        <w:spacing w:line="240" w:lineRule="auto"/>
                        <w:rPr>
                          <w:rFonts w:ascii="Verdana" w:hAnsi="Verdana"/>
                          <w:b/>
                          <w:sz w:val="28"/>
                        </w:rPr>
                      </w:pPr>
                      <w:r>
                        <w:t xml:space="preserve"> </w:t>
                      </w:r>
                      <w:r w:rsidR="00C500A4">
                        <w:rPr>
                          <w:rFonts w:ascii="Verdana" w:hAnsi="Verdana"/>
                          <w:b/>
                          <w:sz w:val="28"/>
                        </w:rPr>
                        <w:t>CFR 220 (A-21)</w:t>
                      </w:r>
                      <w:r w:rsidR="00C500A4">
                        <w:rPr>
                          <w:rFonts w:ascii="Verdana" w:hAnsi="Verdana"/>
                          <w:b/>
                          <w:sz w:val="28"/>
                        </w:rPr>
                        <w:t>,</w:t>
                      </w:r>
                      <w:r w:rsidR="00C500A4">
                        <w:rPr>
                          <w:rFonts w:ascii="Verdana" w:hAnsi="Verdana"/>
                          <w:b/>
                          <w:sz w:val="28"/>
                        </w:rPr>
                        <w:t xml:space="preserve"> 215 (A110) Replaced by Uniform Guidance </w:t>
                      </w:r>
                    </w:p>
                    <w:p w:rsidR="00C500A4" w:rsidRPr="00D02B8E" w:rsidRDefault="00C500A4" w:rsidP="00C500A4">
                      <w:pPr>
                        <w:spacing w:line="240" w:lineRule="auto"/>
                        <w:rPr>
                          <w:sz w:val="24"/>
                        </w:rPr>
                      </w:pPr>
                      <w:r w:rsidRPr="00D02B8E">
                        <w:rPr>
                          <w:sz w:val="24"/>
                        </w:rPr>
                        <w:t xml:space="preserve">The Federal government is streamlining their guidance for Federal awards to ease administrative burdens. As a part of this endeavor, seven circulars will be combined into a Uniform Guidance including two that are critical guidance for effort reporting, CFR Part 220 (formerly A-21) and CFR Part 215 (formerly A-110). </w:t>
                      </w:r>
                    </w:p>
                    <w:p w:rsidR="00C500A4" w:rsidRPr="00D02B8E" w:rsidRDefault="00C500A4" w:rsidP="00C500A4">
                      <w:pPr>
                        <w:spacing w:line="240" w:lineRule="auto"/>
                        <w:rPr>
                          <w:sz w:val="24"/>
                        </w:rPr>
                      </w:pPr>
                      <w:r w:rsidRPr="00D02B8E">
                        <w:rPr>
                          <w:sz w:val="24"/>
                        </w:rPr>
                        <w:t xml:space="preserve">Changes that will impact effort reporting include: </w:t>
                      </w:r>
                    </w:p>
                    <w:p w:rsidR="00C500A4" w:rsidRPr="00D02B8E" w:rsidRDefault="00C500A4" w:rsidP="00C500A4">
                      <w:pPr>
                        <w:pStyle w:val="ListParagraph"/>
                        <w:numPr>
                          <w:ilvl w:val="0"/>
                          <w:numId w:val="7"/>
                        </w:numPr>
                        <w:spacing w:line="240" w:lineRule="auto"/>
                        <w:rPr>
                          <w:sz w:val="24"/>
                        </w:rPr>
                      </w:pPr>
                      <w:r w:rsidRPr="00D02B8E">
                        <w:rPr>
                          <w:sz w:val="24"/>
                        </w:rPr>
                        <w:t>Committed cost share will not be expected nor will it be used in merit review</w:t>
                      </w:r>
                    </w:p>
                    <w:p w:rsidR="00C500A4" w:rsidRPr="00D02B8E" w:rsidRDefault="00C500A4" w:rsidP="00C500A4">
                      <w:pPr>
                        <w:pStyle w:val="ListParagraph"/>
                        <w:numPr>
                          <w:ilvl w:val="0"/>
                          <w:numId w:val="7"/>
                        </w:numPr>
                        <w:spacing w:line="240" w:lineRule="auto"/>
                        <w:rPr>
                          <w:sz w:val="24"/>
                        </w:rPr>
                      </w:pPr>
                      <w:r w:rsidRPr="00D02B8E">
                        <w:rPr>
                          <w:sz w:val="24"/>
                        </w:rPr>
                        <w:t>Only mandatory cost share will be included in the organized research base</w:t>
                      </w:r>
                    </w:p>
                    <w:p w:rsidR="00C500A4" w:rsidRPr="00D02B8E" w:rsidRDefault="00C500A4" w:rsidP="00C500A4">
                      <w:pPr>
                        <w:spacing w:line="240" w:lineRule="auto"/>
                        <w:rPr>
                          <w:sz w:val="24"/>
                        </w:rPr>
                      </w:pPr>
                      <w:r w:rsidRPr="00D02B8E">
                        <w:rPr>
                          <w:sz w:val="24"/>
                        </w:rPr>
                        <w:t xml:space="preserve">Departments should have conversations with their faculty regarding committed cost sharing placed in proposals and work with OSP to see if including this type of cost sharing is even viable. </w:t>
                      </w:r>
                    </w:p>
                    <w:p w:rsidR="00C500A4" w:rsidRPr="00D02B8E" w:rsidRDefault="00C500A4" w:rsidP="00C500A4">
                      <w:pPr>
                        <w:spacing w:line="240" w:lineRule="auto"/>
                        <w:rPr>
                          <w:sz w:val="24"/>
                        </w:rPr>
                      </w:pPr>
                      <w:r w:rsidRPr="00D02B8E">
                        <w:rPr>
                          <w:sz w:val="24"/>
                        </w:rPr>
                        <w:t xml:space="preserve">Information about other changes resulting from the new Uniform Guidance that impact effort reporting will be communicated after the first of the year.  </w:t>
                      </w:r>
                    </w:p>
                    <w:p w:rsidR="00E4064E" w:rsidRDefault="00E4064E"/>
                  </w:txbxContent>
                </v:textbox>
              </v:shape>
            </w:pict>
          </mc:Fallback>
        </mc:AlternateContent>
      </w: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11172BFA" wp14:editId="40FECF24">
                <wp:simplePos x="0" y="0"/>
                <wp:positionH relativeFrom="column">
                  <wp:posOffset>307975</wp:posOffset>
                </wp:positionH>
                <wp:positionV relativeFrom="paragraph">
                  <wp:posOffset>204107</wp:posOffset>
                </wp:positionV>
                <wp:extent cx="2853690" cy="2677795"/>
                <wp:effectExtent l="57150" t="57150" r="118110"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CB1202">
                              <w:rPr>
                                <w:rFonts w:ascii="Verdana" w:hAnsi="Verdana"/>
                                <w:b/>
                                <w:sz w:val="28"/>
                              </w:rPr>
                              <w:t>January-February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9"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5pt;margin-top:16.05pt;width:224.7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CB1202">
                        <w:rPr>
                          <w:rFonts w:ascii="Verdana" w:hAnsi="Verdana"/>
                          <w:b/>
                          <w:sz w:val="28"/>
                        </w:rPr>
                        <w:t>January-February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0"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044095" w:rsidRPr="00F30325" w:rsidRDefault="0004409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044095" w:rsidRDefault="00044095" w:rsidP="00F30325">
      <w:pPr>
        <w:rPr>
          <w:noProof/>
        </w:rPr>
      </w:pPr>
    </w:p>
    <w:p w:rsidR="00CB1202" w:rsidRDefault="00CB1202" w:rsidP="00F30325">
      <w:pPr>
        <w:rPr>
          <w:noProof/>
        </w:rPr>
      </w:pPr>
      <w:bookmarkStart w:id="0" w:name="_GoBack"/>
      <w:bookmarkEnd w:id="0"/>
    </w:p>
    <w:p w:rsidR="007F5775" w:rsidRDefault="00473C8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E400222" wp14:editId="789ED0C1">
                <wp:simplePos x="0" y="0"/>
                <wp:positionH relativeFrom="column">
                  <wp:posOffset>997857</wp:posOffset>
                </wp:positionH>
                <wp:positionV relativeFrom="paragraph">
                  <wp:posOffset>74658</wp:posOffset>
                </wp:positionV>
                <wp:extent cx="2220595" cy="1545771"/>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771"/>
                        </a:xfrm>
                        <a:prstGeom prst="rect">
                          <a:avLst/>
                        </a:prstGeom>
                        <a:solidFill>
                          <a:srgbClr val="FFFFFF"/>
                        </a:solidFill>
                        <a:ln w="9525">
                          <a:noFill/>
                          <a:miter lim="800000"/>
                          <a:headEnd/>
                          <a:tailEnd/>
                        </a:ln>
                      </wps:spPr>
                      <wps:txbx>
                        <w:txbxContent>
                          <w:p w:rsidR="00473C89" w:rsidRDefault="00314750" w:rsidP="00515078">
                            <w:pPr>
                              <w:spacing w:line="240" w:lineRule="auto"/>
                            </w:pPr>
                            <w:r>
                              <w:t>Document K Award cost share using the “Adjust/View Cost Share button. Select “K Award” from the drop down box.</w:t>
                            </w:r>
                          </w:p>
                          <w:p w:rsidR="00314750" w:rsidRDefault="00314750" w:rsidP="00515078">
                            <w:pPr>
                              <w:spacing w:line="240" w:lineRule="auto"/>
                            </w:pPr>
                            <w:r>
                              <w:t xml:space="preserve">DO NOT document K cost sharing in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8.55pt;margin-top:5.9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" stroked="f">
                <v:textbox>
                  <w:txbxContent>
                    <w:p w:rsidR="00473C89" w:rsidRDefault="00314750" w:rsidP="00515078">
                      <w:pPr>
                        <w:spacing w:line="240" w:lineRule="auto"/>
                      </w:pPr>
                      <w:r>
                        <w:t>Document K Award cost share using the “Adjust/View Cost Share button. Select “K Award” from the drop down box.</w:t>
                      </w:r>
                    </w:p>
                    <w:p w:rsidR="00314750" w:rsidRDefault="00314750" w:rsidP="00515078">
                      <w:pPr>
                        <w:spacing w:line="240" w:lineRule="auto"/>
                      </w:pPr>
                      <w:r>
                        <w:t xml:space="preserve">DO NOT document K cost sharing in comments. </w:t>
                      </w:r>
                    </w:p>
                  </w:txbxContent>
                </v:textbox>
              </v:shape>
            </w:pict>
          </mc:Fallback>
        </mc:AlternateContent>
      </w:r>
      <w:r w:rsidR="00E4064E">
        <w:rPr>
          <w:rFonts w:ascii="Copperplate Gothic Bold" w:hAnsi="Copperplate Gothic Bold"/>
          <w:noProof/>
        </w:rPr>
        <mc:AlternateContent>
          <mc:Choice Requires="wps">
            <w:drawing>
              <wp:anchor distT="0" distB="0" distL="114300" distR="114300" simplePos="0" relativeHeight="251678720" behindDoc="0" locked="0" layoutInCell="1" allowOverlap="1" wp14:anchorId="23A3942C" wp14:editId="55782C15">
                <wp:simplePos x="0" y="0"/>
                <wp:positionH relativeFrom="column">
                  <wp:posOffset>-17780</wp:posOffset>
                </wp:positionH>
                <wp:positionV relativeFrom="paragraph">
                  <wp:posOffset>25037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9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LWs2rdAAAACAEAAA8AAABkcnMvZG93bnJl&#10;di54bWxMj8FOwzAQRO9I/IO1SNxahwQimsapoBJCSFwI7d2NlzgiXkexmyZ/z3KC245mNPO23M2u&#10;FxOOofOk4G6dgEBqvOmoVXD4fFk9gghRk9G9J1SwYIBddX1V6sL4C33gVMdWcAmFQiuwMQ6FlKGx&#10;6HRY+wGJvS8/Oh1Zjq00o75wuetlmiS5dLojXrB6wL3F5rs+OwX7+hhIvt2jfX0+Tsuhq99zWpS6&#10;vZmftiAizvEvDL/4jA4VM538mUwQvYJVyuRRQbYBwfZDkvNxUpDmWQayKuX/B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LWs2rdAAAACA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07A9F" w:rsidRPr="00F30325" w:rsidRDefault="00C500A4"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063567E" wp14:editId="5DFA0620">
                <wp:simplePos x="0" y="0"/>
                <wp:positionH relativeFrom="column">
                  <wp:posOffset>3660775</wp:posOffset>
                </wp:positionH>
                <wp:positionV relativeFrom="paragraph">
                  <wp:posOffset>807357</wp:posOffset>
                </wp:positionV>
                <wp:extent cx="2807970" cy="715010"/>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715010"/>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8.25pt;margin-top:63.55pt;width:221.1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" fillcolor="white [3201]" strokecolor="#f5c159" strokeweight="2pt">
                <v:textbo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2B5A"/>
    <w:multiLevelType w:val="hybridMultilevel"/>
    <w:tmpl w:val="8AF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65B07"/>
    <w:multiLevelType w:val="hybridMultilevel"/>
    <w:tmpl w:val="34E80BF8"/>
    <w:lvl w:ilvl="0" w:tplc="DA4E6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44095"/>
    <w:rsid w:val="0014381C"/>
    <w:rsid w:val="00212B4A"/>
    <w:rsid w:val="00226063"/>
    <w:rsid w:val="00236360"/>
    <w:rsid w:val="00286054"/>
    <w:rsid w:val="002923B0"/>
    <w:rsid w:val="002B7D28"/>
    <w:rsid w:val="00314750"/>
    <w:rsid w:val="00420A38"/>
    <w:rsid w:val="00473C89"/>
    <w:rsid w:val="004E0890"/>
    <w:rsid w:val="004E7D6C"/>
    <w:rsid w:val="00515078"/>
    <w:rsid w:val="005703B4"/>
    <w:rsid w:val="006D6942"/>
    <w:rsid w:val="006E51C2"/>
    <w:rsid w:val="0070251E"/>
    <w:rsid w:val="00766F29"/>
    <w:rsid w:val="007A7F58"/>
    <w:rsid w:val="007F5775"/>
    <w:rsid w:val="00807A9F"/>
    <w:rsid w:val="00897AEE"/>
    <w:rsid w:val="008D3B3D"/>
    <w:rsid w:val="009009EF"/>
    <w:rsid w:val="00983910"/>
    <w:rsid w:val="009A4CCC"/>
    <w:rsid w:val="009E1B09"/>
    <w:rsid w:val="00A36B72"/>
    <w:rsid w:val="00A7010F"/>
    <w:rsid w:val="00A85EF5"/>
    <w:rsid w:val="00AB633E"/>
    <w:rsid w:val="00AE6D6A"/>
    <w:rsid w:val="00B05A8C"/>
    <w:rsid w:val="00BB711D"/>
    <w:rsid w:val="00C500A4"/>
    <w:rsid w:val="00C5235D"/>
    <w:rsid w:val="00CB1202"/>
    <w:rsid w:val="00CD4B06"/>
    <w:rsid w:val="00D02B8E"/>
    <w:rsid w:val="00D93317"/>
    <w:rsid w:val="00E309A6"/>
    <w:rsid w:val="00E4064E"/>
    <w:rsid w:val="00E46E57"/>
    <w:rsid w:val="00E53FA4"/>
    <w:rsid w:val="00F30325"/>
    <w:rsid w:val="00FA7BE7"/>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3001/gpg_index.j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sf.gov/pubs/policydocs/pappguide/nsf13001/gpg_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washington.edu/research/index.php?page=ospLearning" TargetMode="External"/><Relationship Id="rId4" Type="http://schemas.openxmlformats.org/officeDocument/2006/relationships/settings" Target="settings.xml"/><Relationship Id="rId9" Type="http://schemas.openxmlformats.org/officeDocument/2006/relationships/hyperlink" Target="http://www.washington.edu/research/index.php?page=osp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cp:lastModifiedBy>
  <cp:revision>2</cp:revision>
  <dcterms:created xsi:type="dcterms:W3CDTF">2014-12-18T00:57:00Z</dcterms:created>
  <dcterms:modified xsi:type="dcterms:W3CDTF">2014-12-18T00:57:00Z</dcterms:modified>
</cp:coreProperties>
</file>