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C3" w:rsidRPr="00BB5B99"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-384810</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ins w:id="0" w:author="suzette" w:date="2014-12-19T09:21:00Z">
        <w:r w:rsidR="00BB5B99">
          <w:rPr>
            <w:rFonts w:ascii="Copperplate Gothic Bold" w:hAnsi="Copperplate Gothic Bold"/>
            <w:b/>
            <w:i/>
            <w:noProof/>
            <w:sz w:val="36"/>
            <w:szCs w:val="32"/>
            <w:bdr w:val="single" w:sz="12" w:space="0" w:color="C0504D" w:themeColor="accent2"/>
          </w:rPr>
          <w:t xml:space="preserve">   </w:t>
        </w:r>
      </w:ins>
    </w:p>
    <w:p w:rsidR="00F30325" w:rsidRPr="00BB5B99"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sidRPr="00BB5B99">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5D366426" wp14:editId="0AACF10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BB5B99">
        <w:rPr>
          <w:rFonts w:ascii="Copperplate Gothic Bold" w:hAnsi="Copperplate Gothic Bold"/>
          <w:i/>
        </w:rPr>
        <w:t>November 2014</w:t>
      </w:r>
      <w:bookmarkStart w:id="1" w:name="_GoBack"/>
      <w:bookmarkEnd w:id="1"/>
    </w:p>
    <w:p w:rsidR="00F30325" w:rsidRPr="00F30325" w:rsidRDefault="00F30325" w:rsidP="00F30325">
      <w:pPr>
        <w:rPr>
          <w:rFonts w:ascii="Copperplate Gothic Bold" w:hAnsi="Copperplate Gothic Bold"/>
        </w:rPr>
      </w:pPr>
    </w:p>
    <w:p w:rsidR="00F30325" w:rsidRPr="00F30325" w:rsidRDefault="00A85EF5"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549355A2" wp14:editId="3349073D">
                <wp:simplePos x="0" y="0"/>
                <wp:positionH relativeFrom="column">
                  <wp:posOffset>47171</wp:posOffset>
                </wp:positionH>
                <wp:positionV relativeFrom="paragraph">
                  <wp:posOffset>131988</wp:posOffset>
                </wp:positionV>
                <wp:extent cx="6549390" cy="2757715"/>
                <wp:effectExtent l="0" t="0" r="381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757715"/>
                        </a:xfrm>
                        <a:prstGeom prst="rect">
                          <a:avLst/>
                        </a:prstGeom>
                        <a:solidFill>
                          <a:srgbClr val="FFFFFF"/>
                        </a:solidFill>
                        <a:ln w="9525">
                          <a:noFill/>
                          <a:miter lim="800000"/>
                          <a:headEnd/>
                          <a:tailEnd/>
                        </a:ln>
                      </wps:spPr>
                      <wps:txbx>
                        <w:txbxContent>
                          <w:p w:rsidR="009E1B09" w:rsidRDefault="00150AC0" w:rsidP="00150AC0">
                            <w:pPr>
                              <w:spacing w:line="240" w:lineRule="auto"/>
                              <w:jc w:val="center"/>
                              <w:rPr>
                                <w:rFonts w:ascii="Verdana" w:hAnsi="Verdana"/>
                                <w:b/>
                                <w:sz w:val="28"/>
                              </w:rPr>
                            </w:pPr>
                            <w:r>
                              <w:rPr>
                                <w:rFonts w:ascii="Verdana" w:hAnsi="Verdana"/>
                                <w:b/>
                                <w:sz w:val="28"/>
                              </w:rPr>
                              <w:t>Columbia U.</w:t>
                            </w:r>
                            <w:r w:rsidRPr="00150AC0">
                              <w:rPr>
                                <w:rFonts w:ascii="Verdana" w:hAnsi="Verdana"/>
                                <w:b/>
                                <w:sz w:val="28"/>
                              </w:rPr>
                              <w:t xml:space="preserve"> Settles with Feds Over Improper Tracking of Effort</w:t>
                            </w:r>
                          </w:p>
                          <w:p w:rsidR="00150AC0" w:rsidRDefault="00150AC0" w:rsidP="00150AC0">
                            <w:pPr>
                              <w:spacing w:line="240" w:lineRule="auto"/>
                            </w:pPr>
                            <w:r>
                              <w:t>Columbia University did not “properly track employee effort and appropriately charge Federal grants” for an 8 year period for i</w:t>
                            </w:r>
                            <w:r w:rsidR="00E11F7B">
                              <w:t>t</w:t>
                            </w:r>
                            <w:r>
                              <w:t>s International Center for AIDS. This resulted in a $9.2 million dollar settlement</w:t>
                            </w:r>
                            <w:r w:rsidR="00320193">
                              <w:t xml:space="preserve"> with the Federal government</w:t>
                            </w:r>
                            <w:r>
                              <w:t xml:space="preserve">. </w:t>
                            </w:r>
                          </w:p>
                          <w:p w:rsidR="00E11F7B" w:rsidRDefault="00E11F7B" w:rsidP="00150AC0">
                            <w:pPr>
                              <w:spacing w:line="240" w:lineRule="auto"/>
                            </w:pPr>
                            <w:r>
                              <w:t xml:space="preserve">The claim alleged that the effort reports were certified as correct by the principle investigators on the grants without using suitable means to verify accuracy of the reports. Effort was certified without properly determining the allocation of work among the grants. </w:t>
                            </w:r>
                          </w:p>
                          <w:p w:rsidR="001E7A84" w:rsidRDefault="00E11F7B" w:rsidP="00150AC0">
                            <w:pPr>
                              <w:spacing w:line="240" w:lineRule="auto"/>
                            </w:pPr>
                            <w:r>
                              <w:t xml:space="preserve">Employees were interviewed during the </w:t>
                            </w:r>
                            <w:r w:rsidR="00266023">
                              <w:t xml:space="preserve">investigation </w:t>
                            </w:r>
                            <w:r>
                              <w:t>process revealing that their estimation of time spent on the grants did not approximate what they were paid from the grant.</w:t>
                            </w:r>
                          </w:p>
                          <w:p w:rsidR="00E11F7B" w:rsidRPr="00150AC0" w:rsidRDefault="001E7A84" w:rsidP="00150AC0">
                            <w:pPr>
                              <w:spacing w:line="240" w:lineRule="auto"/>
                            </w:pPr>
                            <w:r>
                              <w:t>As you can see, i</w:t>
                            </w:r>
                            <w:r w:rsidR="00E11F7B">
                              <w:t xml:space="preserve">t is </w:t>
                            </w:r>
                            <w:r>
                              <w:t xml:space="preserve">extremely </w:t>
                            </w:r>
                            <w:r w:rsidR="00E11F7B">
                              <w:t xml:space="preserve">critical that both Faculty Effort Certification Reports (FECs) and Grant and Contract Certification Reports (GCCRs) be carefully reviewed to ensure the effort charged to the grant is a reasonable representation of the effort performed. The consequences of not performing adequate reviews can be costly.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10.4pt;width:515.7pt;height:21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2kIw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1/PZ8mqJLo6+YjFfLKbz9AYrX9Kt8+GjAE3ioaIOm5/g&#10;2eHBh0iHlS8h8TUPSjZbqVQy3K7eKEcODAdlm9YJ/bcwZUhf0eW8mCdkAzE/zZCWAQdZSV3Rmzyu&#10;mM7KKMcH06RzYFKNZ2SizEmfKMkoThjqAQOjaDU0R1TKwTiw+MHw0IH7RUmPw1pR/3PPnKBEfTKo&#10;9nI6m8XpTsZsvijQcJee+tLDDEeoigZKxuMmpB8R+Rq4w660Mun1yuTEFYcwyXj6MHHKL+0U9fqt&#10;188AAAD//wMAUEsDBBQABgAIAAAAIQB1NjqC3gAAAAkBAAAPAAAAZHJzL2Rvd25yZXYueG1sTI/B&#10;TsMwEETvSPyDtUhcELVbkqaEOBUggbi29AM28TaJiNdR7Dbp3+Oe4LajGc2+Kbaz7cWZRt851rBc&#10;KBDEtTMdNxoO3x+PGxA+IBvsHZOGC3nYlrc3BebGTbyj8z40Ipawz1FDG8KQS+nrliz6hRuIo3d0&#10;o8UQ5dhIM+IUy20vV0qtpcWO44cWB3pvqf7Zn6yG49f0kD5P1Wc4ZLtk/YZdVrmL1vd38+sLiEBz&#10;+AvDFT+iQxmZKndi40WvIUtiUMNKxQFXWz1t4lVpSNJ0CbIs5P8F5S8AAAD//wMAUEsBAi0AFAAG&#10;AAgAAAAhALaDOJL+AAAA4QEAABMAAAAAAAAAAAAAAAAAAAAAAFtDb250ZW50X1R5cGVzXS54bWxQ&#10;SwECLQAUAAYACAAAACEAOP0h/9YAAACUAQAACwAAAAAAAAAAAAAAAAAvAQAAX3JlbHMvLnJlbHNQ&#10;SwECLQAUAAYACAAAACEAvB49pCMCAAAeBAAADgAAAAAAAAAAAAAAAAAuAgAAZHJzL2Uyb0RvYy54&#10;bWxQSwECLQAUAAYACAAAACEAdTY6gt4AAAAJAQAADwAAAAAAAAAAAAAAAAB9BAAAZHJzL2Rvd25y&#10;ZXYueG1sUEsFBgAAAAAEAAQA8wAAAIgFAAAAAA==&#10;" stroked="f">
                <v:textbox>
                  <w:txbxContent>
                    <w:p w:rsidR="009E1B09" w:rsidRDefault="00150AC0" w:rsidP="00150AC0">
                      <w:pPr>
                        <w:spacing w:line="240" w:lineRule="auto"/>
                        <w:jc w:val="center"/>
                        <w:rPr>
                          <w:rFonts w:ascii="Verdana" w:hAnsi="Verdana"/>
                          <w:b/>
                          <w:sz w:val="28"/>
                        </w:rPr>
                      </w:pPr>
                      <w:r>
                        <w:rPr>
                          <w:rFonts w:ascii="Verdana" w:hAnsi="Verdana"/>
                          <w:b/>
                          <w:sz w:val="28"/>
                        </w:rPr>
                        <w:t>Columbia U.</w:t>
                      </w:r>
                      <w:r w:rsidRPr="00150AC0">
                        <w:rPr>
                          <w:rFonts w:ascii="Verdana" w:hAnsi="Verdana"/>
                          <w:b/>
                          <w:sz w:val="28"/>
                        </w:rPr>
                        <w:t xml:space="preserve"> Settles with Feds Over Improper Tracking of Effort</w:t>
                      </w:r>
                    </w:p>
                    <w:p w:rsidR="00150AC0" w:rsidRDefault="00150AC0" w:rsidP="00150AC0">
                      <w:pPr>
                        <w:spacing w:line="240" w:lineRule="auto"/>
                      </w:pPr>
                      <w:r>
                        <w:t>Columbia University did not “properly track employee effort and appropriately charge Federal grants” for an 8 year period for i</w:t>
                      </w:r>
                      <w:r w:rsidR="00E11F7B">
                        <w:t>t</w:t>
                      </w:r>
                      <w:r>
                        <w:t>s International Center for AIDS. This resulted in a $9.2 million dollar settlement</w:t>
                      </w:r>
                      <w:r w:rsidR="00320193">
                        <w:t xml:space="preserve"> with the Federal government</w:t>
                      </w:r>
                      <w:r>
                        <w:t xml:space="preserve">. </w:t>
                      </w:r>
                    </w:p>
                    <w:p w:rsidR="00E11F7B" w:rsidRDefault="00E11F7B" w:rsidP="00150AC0">
                      <w:pPr>
                        <w:spacing w:line="240" w:lineRule="auto"/>
                      </w:pPr>
                      <w:r>
                        <w:t xml:space="preserve">The claim alleged that the effort reports were certified as correct by the principle investigators on the grants without using suitable means to verify accuracy of the reports. Effort was certified without properly determining the allocation of work among the grants. </w:t>
                      </w:r>
                    </w:p>
                    <w:p w:rsidR="001E7A84" w:rsidRDefault="00E11F7B" w:rsidP="00150AC0">
                      <w:pPr>
                        <w:spacing w:line="240" w:lineRule="auto"/>
                      </w:pPr>
                      <w:r>
                        <w:t xml:space="preserve">Employees were interviewed during the </w:t>
                      </w:r>
                      <w:r w:rsidR="00266023">
                        <w:t>investigation</w:t>
                      </w:r>
                      <w:r w:rsidR="00266023">
                        <w:t xml:space="preserve"> </w:t>
                      </w:r>
                      <w:r>
                        <w:t>process revealing that their estimation of time spent on the grants did not approximate what they were paid from the grant.</w:t>
                      </w:r>
                    </w:p>
                    <w:p w:rsidR="00E11F7B" w:rsidRPr="00150AC0" w:rsidRDefault="001E7A84" w:rsidP="00150AC0">
                      <w:pPr>
                        <w:spacing w:line="240" w:lineRule="auto"/>
                      </w:pPr>
                      <w:r>
                        <w:t>As you can see, i</w:t>
                      </w:r>
                      <w:r w:rsidR="00E11F7B">
                        <w:t xml:space="preserve">t is </w:t>
                      </w:r>
                      <w:r>
                        <w:t xml:space="preserve">extremely </w:t>
                      </w:r>
                      <w:r w:rsidR="00E11F7B">
                        <w:t xml:space="preserve">critical that both Faculty Effort Certification Reports (FECs) and Grant and Contract Certification Reports (GCCRs) be carefully reviewed to ensure the effort charged to the grant is a reasonable representation of the effort performed. The consequences of not performing adequate reviews can be costly. </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320193"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28E83013" wp14:editId="6E891C12">
                <wp:simplePos x="0" y="0"/>
                <wp:positionH relativeFrom="column">
                  <wp:posOffset>3392714</wp:posOffset>
                </wp:positionH>
                <wp:positionV relativeFrom="paragraph">
                  <wp:posOffset>181157</wp:posOffset>
                </wp:positionV>
                <wp:extent cx="3291840" cy="4608286"/>
                <wp:effectExtent l="0" t="0" r="381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608286"/>
                        </a:xfrm>
                        <a:prstGeom prst="rect">
                          <a:avLst/>
                        </a:prstGeom>
                        <a:solidFill>
                          <a:srgbClr val="FFFFFF"/>
                        </a:solidFill>
                        <a:ln w="9525">
                          <a:noFill/>
                          <a:miter lim="800000"/>
                          <a:headEnd/>
                          <a:tailEnd/>
                        </a:ln>
                      </wps:spPr>
                      <wps:txbx>
                        <w:txbxContent>
                          <w:p w:rsidR="00E4064E" w:rsidRDefault="00E4064E" w:rsidP="00322D0B">
                            <w:pPr>
                              <w:spacing w:line="240" w:lineRule="auto"/>
                              <w:jc w:val="center"/>
                              <w:rPr>
                                <w:rFonts w:ascii="Verdana" w:hAnsi="Verdana"/>
                                <w:b/>
                                <w:sz w:val="28"/>
                              </w:rPr>
                            </w:pPr>
                            <w:r>
                              <w:t xml:space="preserve"> </w:t>
                            </w:r>
                            <w:r w:rsidR="00322D0B" w:rsidRPr="00322D0B">
                              <w:rPr>
                                <w:rFonts w:ascii="Verdana" w:hAnsi="Verdana"/>
                                <w:b/>
                                <w:sz w:val="28"/>
                              </w:rPr>
                              <w:t xml:space="preserve">Incorrect PUCs </w:t>
                            </w:r>
                            <w:r w:rsidR="00320193">
                              <w:rPr>
                                <w:rFonts w:ascii="Verdana" w:hAnsi="Verdana"/>
                                <w:b/>
                                <w:sz w:val="28"/>
                              </w:rPr>
                              <w:t>Cause</w:t>
                            </w:r>
                            <w:r w:rsidR="00322D0B" w:rsidRPr="00322D0B">
                              <w:rPr>
                                <w:rFonts w:ascii="Verdana" w:hAnsi="Verdana"/>
                                <w:b/>
                                <w:sz w:val="28"/>
                              </w:rPr>
                              <w:t xml:space="preserve"> GCCRs </w:t>
                            </w:r>
                            <w:r w:rsidR="00320193">
                              <w:rPr>
                                <w:rFonts w:ascii="Verdana" w:hAnsi="Verdana"/>
                                <w:b/>
                                <w:sz w:val="28"/>
                              </w:rPr>
                              <w:t xml:space="preserve">to </w:t>
                            </w:r>
                            <w:r w:rsidR="00322D0B">
                              <w:rPr>
                                <w:rFonts w:ascii="Verdana" w:hAnsi="Verdana"/>
                                <w:b/>
                                <w:sz w:val="28"/>
                              </w:rPr>
                              <w:t>Appea</w:t>
                            </w:r>
                            <w:r w:rsidR="00320193">
                              <w:rPr>
                                <w:rFonts w:ascii="Verdana" w:hAnsi="Verdana"/>
                                <w:b/>
                                <w:sz w:val="28"/>
                              </w:rPr>
                              <w:t>r</w:t>
                            </w:r>
                            <w:r w:rsidR="00322D0B">
                              <w:rPr>
                                <w:rFonts w:ascii="Verdana" w:hAnsi="Verdana"/>
                                <w:b/>
                                <w:sz w:val="28"/>
                              </w:rPr>
                              <w:t xml:space="preserve"> </w:t>
                            </w:r>
                            <w:r w:rsidR="00322D0B" w:rsidRPr="00322D0B">
                              <w:rPr>
                                <w:rFonts w:ascii="Verdana" w:hAnsi="Verdana"/>
                                <w:b/>
                                <w:sz w:val="28"/>
                              </w:rPr>
                              <w:t>on Wrong List</w:t>
                            </w:r>
                          </w:p>
                          <w:p w:rsidR="00CE49D9" w:rsidRDefault="00BC6CA7" w:rsidP="00322D0B">
                            <w:pPr>
                              <w:spacing w:line="240" w:lineRule="auto"/>
                            </w:pPr>
                            <w:r>
                              <w:t xml:space="preserve">An incorrect payroll unit code (PUC) </w:t>
                            </w:r>
                            <w:r w:rsidR="00CE49D9">
                              <w:t xml:space="preserve">documented </w:t>
                            </w:r>
                            <w:r>
                              <w:t xml:space="preserve">in FIN or </w:t>
                            </w:r>
                            <w:proofErr w:type="spellStart"/>
                            <w:r>
                              <w:t>MyFD</w:t>
                            </w:r>
                            <w:proofErr w:type="spellEnd"/>
                            <w:r>
                              <w:t xml:space="preserve"> </w:t>
                            </w:r>
                            <w:r w:rsidR="00073259">
                              <w:t xml:space="preserve">can (and does) </w:t>
                            </w:r>
                            <w:r>
                              <w:t xml:space="preserve">result in the GCCR </w:t>
                            </w:r>
                            <w:r w:rsidR="00CE49D9">
                              <w:t xml:space="preserve">appearing under a PUC that does not have responsibility for reviewing and confirming that the charges are appropriate for the work performed. </w:t>
                            </w:r>
                          </w:p>
                          <w:p w:rsidR="00CE49D9" w:rsidRPr="00BC6CA7" w:rsidRDefault="00CE49D9" w:rsidP="00CE49D9">
                            <w:pPr>
                              <w:spacing w:line="240" w:lineRule="auto"/>
                            </w:pPr>
                            <w:r>
                              <w:t xml:space="preserve">When a </w:t>
                            </w:r>
                            <w:proofErr w:type="spellStart"/>
                            <w:r w:rsidR="001E7A84">
                              <w:t>T</w:t>
                            </w:r>
                            <w:r>
                              <w:t>ranspasu</w:t>
                            </w:r>
                            <w:proofErr w:type="spellEnd"/>
                            <w:r>
                              <w:t xml:space="preserve"> is processed and a sub award set up, the department (either of the parent or sub) must contact Payroll to have the PUC changed to the sub</w:t>
                            </w:r>
                            <w:r w:rsidR="001E7A84">
                              <w:t xml:space="preserve"> if it is under a different reviewer than the parent budget</w:t>
                            </w:r>
                            <w:r>
                              <w:t xml:space="preserve">. The PI of the sub then becomes fiscally responsible for charges on the sub. </w:t>
                            </w:r>
                          </w:p>
                          <w:p w:rsidR="00CE49D9" w:rsidRDefault="00CE49D9" w:rsidP="00322D0B">
                            <w:pPr>
                              <w:spacing w:line="240" w:lineRule="auto"/>
                            </w:pPr>
                            <w:r>
                              <w:t xml:space="preserve"> This is not an automatic process.  Contact Payroll at </w:t>
                            </w:r>
                            <w:hyperlink r:id="rId7" w:history="1">
                              <w:r w:rsidRPr="00B16439">
                                <w:rPr>
                                  <w:rStyle w:val="Hyperlink"/>
                                </w:rPr>
                                <w:t>pronline@u.washington.edu</w:t>
                              </w:r>
                            </w:hyperlink>
                          </w:p>
                          <w:p w:rsidR="00320193" w:rsidRPr="00320193" w:rsidRDefault="00320193" w:rsidP="00322D0B">
                            <w:pPr>
                              <w:spacing w:line="240" w:lineRule="auto"/>
                              <w:rPr>
                                <w:sz w:val="6"/>
                              </w:rPr>
                            </w:pPr>
                          </w:p>
                          <w:p w:rsidR="00CE49D9" w:rsidRDefault="00320193" w:rsidP="00320193">
                            <w:pPr>
                              <w:spacing w:line="240" w:lineRule="auto"/>
                              <w:jc w:val="center"/>
                              <w:rPr>
                                <w:rFonts w:ascii="Verdana" w:hAnsi="Verdana"/>
                                <w:b/>
                                <w:sz w:val="28"/>
                              </w:rPr>
                            </w:pPr>
                            <w:r w:rsidRPr="00320193">
                              <w:rPr>
                                <w:rFonts w:ascii="Verdana" w:hAnsi="Verdana"/>
                                <w:b/>
                                <w:sz w:val="28"/>
                              </w:rPr>
                              <w:t xml:space="preserve">Introducing Katherine </w:t>
                            </w:r>
                            <w:proofErr w:type="spellStart"/>
                            <w:r w:rsidRPr="00320193">
                              <w:rPr>
                                <w:rFonts w:ascii="Verdana" w:hAnsi="Verdana"/>
                                <w:b/>
                                <w:sz w:val="28"/>
                              </w:rPr>
                              <w:t>Gudgel</w:t>
                            </w:r>
                            <w:proofErr w:type="spellEnd"/>
                          </w:p>
                          <w:p w:rsidR="00320193" w:rsidRPr="00320193" w:rsidRDefault="00320193" w:rsidP="00320193">
                            <w:pPr>
                              <w:spacing w:line="240" w:lineRule="auto"/>
                            </w:pPr>
                            <w:r>
                              <w:t xml:space="preserve">Welcome Kathy to effort reporting. She </w:t>
                            </w:r>
                            <w:r w:rsidR="001E7A84">
                              <w:t>has taken</w:t>
                            </w:r>
                            <w:r>
                              <w:t xml:space="preserve"> Donna </w:t>
                            </w:r>
                            <w:proofErr w:type="spellStart"/>
                            <w:r>
                              <w:t>Sunkel’s</w:t>
                            </w:r>
                            <w:proofErr w:type="spellEnd"/>
                            <w:r>
                              <w:t xml:space="preserve"> place and will be working with departments completing Interim Cost Share Reports, reviewing recertified effort reports and following up on delinquent FECs.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15pt;margin-top:14.25pt;width:259.2pt;height:36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RCIgIAACM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2CjDNLbo&#10;UQyBvIeBFFGd3voSgx4shoUBr7HLqVJv74H/8MTAtmNmL26dg74TrEF205iZXaWOOD6C1P1naPAZ&#10;dgiQgIbW6SgdikEQHbt0unQmUuF4+bZYTZczdHH0zRb5slgu0husfE63zoePAjSJh4o6bH2CZ8d7&#10;HyIdVj6HxNc8KNnspFLJcPt6qxw5MhyTXVpn9N/ClCF9RVfzYp6QDcT8NEFaBhxjJTXqmMcV01kZ&#10;5fhgmnQOTKrxjEyUOesTJRnFCUM9pEYk8aJ2NTQnFMzBOLX4y/DQgftFSY8TW1H/88CcoER9Mij6&#10;ajqLCoVkzObvCjTctae+9jDDEaqigZLxuA3pW0TaBm6xOa1Msr0wOVPGSUxqnn9NHPVrO0W9/O3N&#10;EwAAAP//AwBQSwMEFAAGAAgAAAAhAOE3ZdjfAAAACwEAAA8AAABkcnMvZG93bnJldi54bWxMj9FO&#10;g0AQRd9N/IfNmPhi7CKF0lKGRk00vrb2AwZ2C0R2lrDbQv/e7ZM+Tu7JvWeK3Wx6cdGj6ywjvCwi&#10;EJprqzpuEI7fH89rEM4TK+ota4SrdrAr7+8KypWdeK8vB9+IUMIuJ4TW+yGX0tWtNuQWdtAcspMd&#10;Dflwjo1UI02h3PQyjqKVNNRxWGhp0O+trn8OZ4Nw+pqe0s1Uffpjtk9Wb9Rllb0iPj7Mr1sQXs/+&#10;D4abflCHMjhV9szKiR4hXSbLgCLE6xTEDYjSOANRIWRpEoMsC/n/h/IXAAD//wMAUEsBAi0AFAAG&#10;AAgAAAAhALaDOJL+AAAA4QEAABMAAAAAAAAAAAAAAAAAAAAAAFtDb250ZW50X1R5cGVzXS54bWxQ&#10;SwECLQAUAAYACAAAACEAOP0h/9YAAACUAQAACwAAAAAAAAAAAAAAAAAvAQAAX3JlbHMvLnJlbHNQ&#10;SwECLQAUAAYACAAAACEA4Vl0QiICAAAjBAAADgAAAAAAAAAAAAAAAAAuAgAAZHJzL2Uyb0RvYy54&#10;bWxQSwECLQAUAAYACAAAACEA4Tdl2N8AAAALAQAADwAAAAAAAAAAAAAAAAB8BAAAZHJzL2Rvd25y&#10;ZXYueG1sUEsFBgAAAAAEAAQA8wAAAIgFAAAAAA==&#10;" stroked="f">
                <v:textbox>
                  <w:txbxContent>
                    <w:p w:rsidR="00E4064E" w:rsidRDefault="00E4064E" w:rsidP="00322D0B">
                      <w:pPr>
                        <w:spacing w:line="240" w:lineRule="auto"/>
                        <w:jc w:val="center"/>
                        <w:rPr>
                          <w:rFonts w:ascii="Verdana" w:hAnsi="Verdana"/>
                          <w:b/>
                          <w:sz w:val="28"/>
                        </w:rPr>
                      </w:pPr>
                      <w:r>
                        <w:t xml:space="preserve"> </w:t>
                      </w:r>
                      <w:r w:rsidR="00322D0B" w:rsidRPr="00322D0B">
                        <w:rPr>
                          <w:rFonts w:ascii="Verdana" w:hAnsi="Verdana"/>
                          <w:b/>
                          <w:sz w:val="28"/>
                        </w:rPr>
                        <w:t xml:space="preserve">Incorrect PUCs </w:t>
                      </w:r>
                      <w:r w:rsidR="00320193">
                        <w:rPr>
                          <w:rFonts w:ascii="Verdana" w:hAnsi="Verdana"/>
                          <w:b/>
                          <w:sz w:val="28"/>
                        </w:rPr>
                        <w:t>Cause</w:t>
                      </w:r>
                      <w:r w:rsidR="00322D0B" w:rsidRPr="00322D0B">
                        <w:rPr>
                          <w:rFonts w:ascii="Verdana" w:hAnsi="Verdana"/>
                          <w:b/>
                          <w:sz w:val="28"/>
                        </w:rPr>
                        <w:t xml:space="preserve"> GCCRs </w:t>
                      </w:r>
                      <w:r w:rsidR="00320193">
                        <w:rPr>
                          <w:rFonts w:ascii="Verdana" w:hAnsi="Verdana"/>
                          <w:b/>
                          <w:sz w:val="28"/>
                        </w:rPr>
                        <w:t xml:space="preserve">to </w:t>
                      </w:r>
                      <w:r w:rsidR="00322D0B">
                        <w:rPr>
                          <w:rFonts w:ascii="Verdana" w:hAnsi="Verdana"/>
                          <w:b/>
                          <w:sz w:val="28"/>
                        </w:rPr>
                        <w:t>Appea</w:t>
                      </w:r>
                      <w:r w:rsidR="00320193">
                        <w:rPr>
                          <w:rFonts w:ascii="Verdana" w:hAnsi="Verdana"/>
                          <w:b/>
                          <w:sz w:val="28"/>
                        </w:rPr>
                        <w:t>r</w:t>
                      </w:r>
                      <w:r w:rsidR="00322D0B">
                        <w:rPr>
                          <w:rFonts w:ascii="Verdana" w:hAnsi="Verdana"/>
                          <w:b/>
                          <w:sz w:val="28"/>
                        </w:rPr>
                        <w:t xml:space="preserve"> </w:t>
                      </w:r>
                      <w:r w:rsidR="00322D0B" w:rsidRPr="00322D0B">
                        <w:rPr>
                          <w:rFonts w:ascii="Verdana" w:hAnsi="Verdana"/>
                          <w:b/>
                          <w:sz w:val="28"/>
                        </w:rPr>
                        <w:t>on Wrong List</w:t>
                      </w:r>
                    </w:p>
                    <w:p w:rsidR="00CE49D9" w:rsidRDefault="00BC6CA7" w:rsidP="00322D0B">
                      <w:pPr>
                        <w:spacing w:line="240" w:lineRule="auto"/>
                      </w:pPr>
                      <w:r>
                        <w:t xml:space="preserve">An incorrect payroll unit code (PUC) </w:t>
                      </w:r>
                      <w:r w:rsidR="00CE49D9">
                        <w:t xml:space="preserve">documented </w:t>
                      </w:r>
                      <w:r>
                        <w:t xml:space="preserve">in FIN or </w:t>
                      </w:r>
                      <w:proofErr w:type="spellStart"/>
                      <w:r>
                        <w:t>MyFD</w:t>
                      </w:r>
                      <w:proofErr w:type="spellEnd"/>
                      <w:r>
                        <w:t xml:space="preserve"> </w:t>
                      </w:r>
                      <w:r w:rsidR="00073259">
                        <w:t xml:space="preserve">can (and does) </w:t>
                      </w:r>
                      <w:r>
                        <w:t xml:space="preserve">result in the GCCR </w:t>
                      </w:r>
                      <w:r w:rsidR="00CE49D9">
                        <w:t xml:space="preserve">appearing under a PUC that does not have responsibility for reviewing and confirming that the charges are appropriate for the work performed. </w:t>
                      </w:r>
                    </w:p>
                    <w:p w:rsidR="00CE49D9" w:rsidRPr="00BC6CA7" w:rsidRDefault="00CE49D9" w:rsidP="00CE49D9">
                      <w:pPr>
                        <w:spacing w:line="240" w:lineRule="auto"/>
                      </w:pPr>
                      <w:r>
                        <w:t xml:space="preserve">When a </w:t>
                      </w:r>
                      <w:proofErr w:type="spellStart"/>
                      <w:r w:rsidR="001E7A84">
                        <w:t>T</w:t>
                      </w:r>
                      <w:r>
                        <w:t>ranspasu</w:t>
                      </w:r>
                      <w:proofErr w:type="spellEnd"/>
                      <w:r>
                        <w:t xml:space="preserve"> is processed and a sub award set up, the department (either of the parent or sub) must contact Payroll to have the PUC changed to the sub</w:t>
                      </w:r>
                      <w:r w:rsidR="001E7A84">
                        <w:t xml:space="preserve"> if it is under a different reviewer than the parent budget</w:t>
                      </w:r>
                      <w:r>
                        <w:t xml:space="preserve">. The PI of the sub then becomes fiscally responsible for charges on the sub. </w:t>
                      </w:r>
                    </w:p>
                    <w:p w:rsidR="00CE49D9" w:rsidRDefault="00CE49D9" w:rsidP="00322D0B">
                      <w:pPr>
                        <w:spacing w:line="240" w:lineRule="auto"/>
                      </w:pPr>
                      <w:r>
                        <w:t xml:space="preserve"> This is not an automatic process.  Contact Payroll at </w:t>
                      </w:r>
                      <w:hyperlink r:id="rId8" w:history="1">
                        <w:r w:rsidRPr="00B16439">
                          <w:rPr>
                            <w:rStyle w:val="Hyperlink"/>
                          </w:rPr>
                          <w:t>pronline@u.washington.edu</w:t>
                        </w:r>
                      </w:hyperlink>
                    </w:p>
                    <w:p w:rsidR="00320193" w:rsidRPr="00320193" w:rsidRDefault="00320193" w:rsidP="00322D0B">
                      <w:pPr>
                        <w:spacing w:line="240" w:lineRule="auto"/>
                        <w:rPr>
                          <w:sz w:val="6"/>
                        </w:rPr>
                      </w:pPr>
                    </w:p>
                    <w:p w:rsidR="00CE49D9" w:rsidRDefault="00320193" w:rsidP="00320193">
                      <w:pPr>
                        <w:spacing w:line="240" w:lineRule="auto"/>
                        <w:jc w:val="center"/>
                        <w:rPr>
                          <w:rFonts w:ascii="Verdana" w:hAnsi="Verdana"/>
                          <w:b/>
                          <w:sz w:val="28"/>
                        </w:rPr>
                      </w:pPr>
                      <w:r w:rsidRPr="00320193">
                        <w:rPr>
                          <w:rFonts w:ascii="Verdana" w:hAnsi="Verdana"/>
                          <w:b/>
                          <w:sz w:val="28"/>
                        </w:rPr>
                        <w:t xml:space="preserve">Introducing Katherine </w:t>
                      </w:r>
                      <w:proofErr w:type="spellStart"/>
                      <w:r w:rsidRPr="00320193">
                        <w:rPr>
                          <w:rFonts w:ascii="Verdana" w:hAnsi="Verdana"/>
                          <w:b/>
                          <w:sz w:val="28"/>
                        </w:rPr>
                        <w:t>Gudgel</w:t>
                      </w:r>
                      <w:proofErr w:type="spellEnd"/>
                    </w:p>
                    <w:p w:rsidR="00320193" w:rsidRPr="00320193" w:rsidRDefault="00320193" w:rsidP="00320193">
                      <w:pPr>
                        <w:spacing w:line="240" w:lineRule="auto"/>
                      </w:pPr>
                      <w:r>
                        <w:t xml:space="preserve">Welcome Kathy to effort reporting. She </w:t>
                      </w:r>
                      <w:r w:rsidR="001E7A84">
                        <w:t>has taken</w:t>
                      </w:r>
                      <w:r>
                        <w:t xml:space="preserve"> Donna </w:t>
                      </w:r>
                      <w:proofErr w:type="spellStart"/>
                      <w:r>
                        <w:t>Sunkel’s</w:t>
                      </w:r>
                      <w:proofErr w:type="spellEnd"/>
                      <w:r>
                        <w:t xml:space="preserve"> place and will be working with departments completing Interim Cost Share Reports, reviewing recertified effort reports and following up on delinquent FECs.</w:t>
                      </w:r>
                    </w:p>
                  </w:txbxContent>
                </v:textbox>
              </v:shape>
            </w:pict>
          </mc:Fallback>
        </mc:AlternateContent>
      </w:r>
      <w:r w:rsidR="00E4064E"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37CBDE4D" wp14:editId="231BF74E">
                <wp:simplePos x="0" y="0"/>
                <wp:positionH relativeFrom="column">
                  <wp:posOffset>163195</wp:posOffset>
                </wp:positionH>
                <wp:positionV relativeFrom="paragraph">
                  <wp:posOffset>197848</wp:posOffset>
                </wp:positionV>
                <wp:extent cx="2853690" cy="2677795"/>
                <wp:effectExtent l="57150" t="57150" r="118110" b="1225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67779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5A00C3">
                              <w:rPr>
                                <w:rFonts w:ascii="Verdana" w:hAnsi="Verdana"/>
                                <w:b/>
                                <w:sz w:val="28"/>
                              </w:rPr>
                              <w:t>December-January</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5A00C3">
                              <w:rPr>
                                <w:sz w:val="20"/>
                              </w:rPr>
                              <w:t>Using the Tools</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5A00C3">
                              <w:t>Salary Limitations</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5A00C3">
                              <w:rPr>
                                <w:rFonts w:ascii="Symbol" w:hAnsi="Symbol"/>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5A00C3">
                              <w:rPr>
                                <w:sz w:val="20"/>
                              </w:rPr>
                              <w:t xml:space="preserve"> K Awards</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9"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5pt;margin-top:15.6pt;width:224.7pt;height:2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tfwIAAAIFAAAOAAAAZHJzL2Uyb0RvYy54bWysVMtu2zAQvBfoPxC8N7IVK7KFyEHqNEWB&#10;vtCk6HlFUhYRimRJ2lL69V1Sjuu+LkV1ELja1XB2dsjLq7FXZC+cl0bXdH42o0RoZrjU25p+vr99&#10;saTEB9AclNGipo/C06v182eXg61EbjqjuHAEQbSvBlvTLgRbZZlnnejBnxkrNCZb43oIGLptxh0M&#10;iN6rLJ/NLrLBOG6dYcJ7/HozJek64betYOFD23oRiKopcgvp7dK7ie9sfQnV1oHtJDvQgH9g0YPU&#10;uOkR6gYCkJ2Tv0H1kjnjTRvOmOkz07aSidQDdjOf/dLNXQdWpF5QHG+PMvn/B8ve7z86InlNS0o0&#10;9DiiezEG8tKMJI/qDNZXWHRnsSyM+BmnnDr19q1hD55os+lAb8W1c2boBHBkN49/Zie/Tjg+gjTD&#10;O8NxG9gFk4DG1vVROhSDIDpO6fE4mUiF4cd8WZxfrDDFMJdflGW5KtIeUD39bp0Pr4XpSVzU1OHo&#10;Ezzs3/oQ6UD1VBJ380ZJfiuVSoHbNhvlyB7QJrfpOaD/VKY0GRKXspgk+DtGsZkXqz9h9DKg4ZXs&#10;a7qcxScWQRWFe6V5WgeQalojZ6VjWiQrYyMxMDuEuOv4QBq1c58Ah1fMEIwSLmPr58v5FKDP83La&#10;hIDa4gENihJnwhcZumSuKHSEjMocBWgUsIdJO2U7mFRZPHE96IjVSdMjmRSd8EzjjxOfZh/GZkw+&#10;O7qqMfwR/YB00tDxEsFFZ9w3SgY8kDX1X3fgBCXqjUZPreaLRTzBKVgUZY6BO800pxnQDKGwYUqm&#10;5SakUx+b1eYavdfK5Ipo0onJwbF40FIrh0shnuTTOFX9uLrW3wEAAP//AwBQSwMEFAAGAAgAAAAh&#10;AI1ZkePgAAAACQEAAA8AAABkcnMvZG93bnJldi54bWxMj0FPg0AQhe8m/ofNmHgxdgGlFWRplGhS&#10;ox6sxvPCjkBkZwm7bem/dzzp7U3ey3vfFOvZDmKPk+8dKYgXEQikxpmeWgUf74+XNyB80GT04AgV&#10;HNHDujw9KXRu3IHecL8NreAS8rlW0IUw5lL6pkOr/cKNSOx9ucnqwOfUSjPpA5fbQSZRtJRW98QL&#10;nR6x6rD53u6sgko+Z8Z8Hu+zB//6sqw3F5vqCZU6P5vvbkEEnMNfGH7xGR1KZqrdjowXg4IkXXFS&#10;wVWcgGD/epXGIGoWaZKBLAv5/4PyBwAA//8DAFBLAQItABQABgAIAAAAIQC2gziS/gAAAOEBAAAT&#10;AAAAAAAAAAAAAAAAAAAAAABbQ29udGVudF9UeXBlc10ueG1sUEsBAi0AFAAGAAgAAAAhADj9If/W&#10;AAAAlAEAAAsAAAAAAAAAAAAAAAAALwEAAF9yZWxzLy5yZWxzUEsBAi0AFAAGAAgAAAAhAMLf9q1/&#10;AgAAAgUAAA4AAAAAAAAAAAAAAAAALgIAAGRycy9lMm9Eb2MueG1sUEsBAi0AFAAGAAgAAAAhAI1Z&#10;kePgAAAACQEAAA8AAAAAAAAAAAAAAAAA2QQAAGRycy9kb3ducmV2LnhtbFBLBQYAAAAABAAEAPMA&#10;AADmBQAAAAA=&#10;" strokecolor="#f5c159" strokeweight="2.25pt">
                <v:shadow on="t" color="black" opacity="26214f" origin="-.5,-.5" offset=".74836mm,.74836mm"/>
                <v:textbo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5A00C3">
                        <w:rPr>
                          <w:rFonts w:ascii="Verdana" w:hAnsi="Verdana"/>
                          <w:b/>
                          <w:sz w:val="28"/>
                        </w:rPr>
                        <w:t>December-January</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5A00C3">
                        <w:rPr>
                          <w:sz w:val="20"/>
                        </w:rPr>
                        <w:t>Using the Tools</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5A00C3">
                        <w:t>Salary Limitations</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5A00C3">
                        <w:rPr>
                          <w:rFonts w:ascii="Symbol" w:hAnsi="Symbol"/>
                        </w:rPr>
                        <w:t></w:t>
                      </w:r>
                      <w:r w:rsidR="00B05A8C">
                        <w:t>Introduction to Grant &amp; Contract Certification</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5A00C3">
                        <w:rPr>
                          <w:sz w:val="20"/>
                        </w:rPr>
                        <w:t xml:space="preserve"> K Awards</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0"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r w:rsidR="00E4064E"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02EB422F" wp14:editId="1656A632">
                <wp:simplePos x="0" y="0"/>
                <wp:positionH relativeFrom="column">
                  <wp:posOffset>3391535</wp:posOffset>
                </wp:positionH>
                <wp:positionV relativeFrom="paragraph">
                  <wp:posOffset>192405</wp:posOffset>
                </wp:positionV>
                <wp:extent cx="3461385" cy="812165"/>
                <wp:effectExtent l="0" t="0"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812165"/>
                        </a:xfrm>
                        <a:prstGeom prst="rect">
                          <a:avLst/>
                        </a:prstGeom>
                        <a:solidFill>
                          <a:srgbClr val="FFFFFF"/>
                        </a:solidFill>
                        <a:ln w="9525">
                          <a:noFill/>
                          <a:miter lim="800000"/>
                          <a:headEnd/>
                          <a:tailEnd/>
                        </a:ln>
                      </wps:spPr>
                      <wps:txbx>
                        <w:txbxContent>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7.05pt;margin-top:15.15pt;width:272.5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CX6IgIAACIEAAAOAAAAZHJzL2Uyb0RvYy54bWysU9uO2yAQfa/Uf0C8N46dS7NWnNU221SV&#10;thdptx+AMY5RgaFAYqdf3wFns2n7VpUHxDAzhzNnhvXtoBU5CuclmIrmkyklwnBopNlX9NvT7s2K&#10;Eh+YaZgCIyp6Ep7ebl6/Wve2FAV0oBrhCIIYX/a2ol0ItswyzzuhmZ+AFQadLTjNAppunzWO9Yiu&#10;VVZMp8usB9dYB1x4j7f3o5NuEn7bCh6+tK0XgaiKIreQdpf2Ou7ZZs3KvWO2k/xMg/0DC82kwUcv&#10;UPcsMHJw8i8oLbkDD22YcNAZtK3kItWA1eTTP6p57JgVqRYUx9uLTP7/wfLPx6+OyKaiC0oM09ii&#10;JzEE8g4GUkR1eutLDHq0GBYGvMYup0q9fQD+3RMD246ZvbhzDvpOsAbZ5TEzu0odcXwEqftP0OAz&#10;7BAgAQ2t01E6FIMgOnbpdOlMpMLxcjZf5rMVUuToW+VFvlykJ1j5nG2dDx8EaBIPFXXY+YTOjg8+&#10;RDasfA6Jj3lQstlJpZLh9vVWOXJkOCW7tM7ov4UpQ/qK3iyKRUI2EPPTAGkZcIqV1EhuGldMZ2VU&#10;471p0jkwqcYzMlHmLE9UZNQmDPWQ+jCLuVG6GpoT6uVgHFr8ZHjowP2kpMeBraj/cWBOUKI+GtT8&#10;Jp/P44QnY754W6Dhrj31tYcZjlAVDZSMx21IvyLSNnCHvWllku2FyZkyDmJS8/xp4qRf2ynq5Wtv&#10;fgEAAP//AwBQSwMEFAAGAAgAAAAhABnDCd/gAAAACwEAAA8AAABkcnMvZG93bnJldi54bWxMj8FO&#10;g0AQhu8mvsNmTLwYuxRKaZGlURON19Y+wMBOgcjOEnZb6Nu7PeltJvPln+8vdrPpxYVG11lWsFxE&#10;IIhrqztuFBy/P543IJxH1thbJgVXcrAr7+8KzLWdeE+Xg29ECGGXo4LW+yGX0tUtGXQLOxCH28mO&#10;Bn1Yx0bqEacQbnoZR9FaGuw4fGhxoPeW6p/D2Sg4fU1P6XaqPv0x26/Wb9hllb0q9fgwv76A8DT7&#10;Pxhu+kEdyuBU2TNrJ3oFabJaBlRBEiUgbkCUbWMQVZjSTQyyLOT/DuUvAAAA//8DAFBLAQItABQA&#10;BgAIAAAAIQC2gziS/gAAAOEBAAATAAAAAAAAAAAAAAAAAAAAAABbQ29udGVudF9UeXBlc10ueG1s&#10;UEsBAi0AFAAGAAgAAAAhADj9If/WAAAAlAEAAAsAAAAAAAAAAAAAAAAALwEAAF9yZWxzLy5yZWxz&#10;UEsBAi0AFAAGAAgAAAAhALg8JfoiAgAAIgQAAA4AAAAAAAAAAAAAAAAALgIAAGRycy9lMm9Eb2Mu&#10;eG1sUEsBAi0AFAAGAAgAAAAhABnDCd/gAAAACwEAAA8AAAAAAAAAAAAAAAAAfAQAAGRycy9kb3du&#10;cmV2LnhtbFBLBQYAAAAABAAEAPMAAACJBQAAAAA=&#10;" stroked="f">
                <v:textbox>
                  <w:txbxContent>
                    <w:p w:rsidR="00FD7735" w:rsidRDefault="00FD7735" w:rsidP="00FD7735">
                      <w:pPr>
                        <w:widowControl w:val="0"/>
                      </w:pP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7F5775" w:rsidRDefault="00473C89"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E400222" wp14:editId="789ED0C1">
                <wp:simplePos x="0" y="0"/>
                <wp:positionH relativeFrom="column">
                  <wp:posOffset>909320</wp:posOffset>
                </wp:positionH>
                <wp:positionV relativeFrom="paragraph">
                  <wp:posOffset>70213</wp:posOffset>
                </wp:positionV>
                <wp:extent cx="2220595" cy="1545771"/>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545771"/>
                        </a:xfrm>
                        <a:prstGeom prst="rect">
                          <a:avLst/>
                        </a:prstGeom>
                        <a:solidFill>
                          <a:srgbClr val="FFFFFF"/>
                        </a:solidFill>
                        <a:ln w="9525">
                          <a:noFill/>
                          <a:miter lim="800000"/>
                          <a:headEnd/>
                          <a:tailEnd/>
                        </a:ln>
                      </wps:spPr>
                      <wps:txbx>
                        <w:txbxContent>
                          <w:p w:rsidR="00526537" w:rsidRDefault="00526537" w:rsidP="00526537">
                            <w:pPr>
                              <w:spacing w:after="0" w:line="240" w:lineRule="auto"/>
                            </w:pPr>
                            <w:r>
                              <w:t>CHECK IT OUT!</w:t>
                            </w:r>
                          </w:p>
                          <w:p w:rsidR="00473C89" w:rsidRPr="00526537" w:rsidRDefault="00526537" w:rsidP="00526537">
                            <w:pPr>
                              <w:pStyle w:val="ListParagraph"/>
                              <w:numPr>
                                <w:ilvl w:val="0"/>
                                <w:numId w:val="5"/>
                              </w:numPr>
                              <w:spacing w:after="0" w:line="240" w:lineRule="auto"/>
                              <w:rPr>
                                <w:sz w:val="20"/>
                              </w:rPr>
                            </w:pPr>
                            <w:r w:rsidRPr="00526537">
                              <w:rPr>
                                <w:sz w:val="20"/>
                              </w:rPr>
                              <w:t xml:space="preserve"> The </w:t>
                            </w:r>
                            <w:r w:rsidR="005A00C3" w:rsidRPr="00526537">
                              <w:rPr>
                                <w:sz w:val="20"/>
                              </w:rPr>
                              <w:t xml:space="preserve">new web page on 100% sponsor funded research faculty. </w:t>
                            </w:r>
                          </w:p>
                          <w:p w:rsidR="005A00C3" w:rsidRPr="00526537" w:rsidRDefault="00526537" w:rsidP="00473C89">
                            <w:pPr>
                              <w:pStyle w:val="ListParagraph"/>
                              <w:numPr>
                                <w:ilvl w:val="0"/>
                                <w:numId w:val="5"/>
                              </w:numPr>
                              <w:spacing w:line="240" w:lineRule="auto"/>
                              <w:rPr>
                                <w:sz w:val="20"/>
                              </w:rPr>
                            </w:pPr>
                            <w:r w:rsidRPr="00526537">
                              <w:rPr>
                                <w:sz w:val="20"/>
                              </w:rPr>
                              <w:t xml:space="preserve">Allocation of effort examples – unique problems and how to solve them. </w:t>
                            </w:r>
                          </w:p>
                          <w:p w:rsidR="00526537" w:rsidRPr="00526537" w:rsidRDefault="00BB5B99" w:rsidP="00526537">
                            <w:pPr>
                              <w:pStyle w:val="ListParagraph"/>
                              <w:numPr>
                                <w:ilvl w:val="0"/>
                                <w:numId w:val="5"/>
                              </w:numPr>
                              <w:spacing w:line="240" w:lineRule="auto"/>
                              <w:rPr>
                                <w:sz w:val="20"/>
                              </w:rPr>
                            </w:pPr>
                            <w:hyperlink r:id="rId11" w:history="1">
                              <w:r w:rsidR="00526537" w:rsidRPr="00526537">
                                <w:rPr>
                                  <w:rStyle w:val="Hyperlink"/>
                                  <w:sz w:val="20"/>
                                </w:rPr>
                                <w:t>http://f2.washington.edu/fm/maa/fec</w:t>
                              </w:r>
                            </w:hyperlink>
                          </w:p>
                          <w:p w:rsidR="00526537" w:rsidRDefault="00526537" w:rsidP="0052653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6pt;margin-top:5.55pt;width:174.85pt;height:1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DoIQIAACQEAAAOAAAAZHJzL2Uyb0RvYy54bWysU8GO2yAQvVfqPyDujR0r7m6sOKtttqkq&#10;bbeVdvsBGOMYFRgKJHb69R1wkkbbW1UOiGGGx8ybN6u7UStyEM5LMDWdz3JKhOHQSrOr6feX7btb&#10;SnxgpmUKjKjpUXh6t377ZjXYShTQg2qFIwhifDXYmvYh2CrLPO+FZn4GVhh0duA0C2i6XdY6NiC6&#10;VlmR5++zAVxrHXDhPd4+TE66TvhdJ3j42nVeBKJqirmFtLu0N3HP1itW7RyzveSnNNg/ZKGZNPjp&#10;BeqBBUb2Tv4FpSV34KELMw46g66TXKQasJp5/qqa555ZkWpBcry90OT/Hyx/OnxzRLbYu4ISwzT2&#10;6EWMgXyAkRSRnsH6CqOeLcaFEa8xNJXq7SPwH54Y2PTM7MS9czD0grWY3jy+zK6eTjg+gjTDF2jx&#10;G7YPkIDGzunIHbJBEB3bdLy0JqbC8bIoirxclpRw9M3LRXlzM/3BqvNz63z4JECTeKipw94neHZ4&#10;9CGmw6pzSPzNg5LtViqVDLdrNsqRA0OdbNNKFbwKU4YMNV2WRZmQDcT3SUJaBtSxkrqmt3lck7Ii&#10;HR9Nm0ICk2o6YybKnPiJlEzkhLEZUycWZ9obaI9ImINJtjhmeOjB/aJkQMnW1P/cMycoUZ8Nkr6c&#10;LxZR48lAhgo03LWnufYwwxGqpoGS6bgJaS4iHQbusTmdTLTFLk6ZnFJGKSY2T2MTtX5tp6g/w73+&#10;DQAA//8DAFBLAwQUAAYACAAAACEA4d+5p94AAAAKAQAADwAAAGRycy9kb3ducmV2LnhtbEyPwU6D&#10;QBCG7ya+w2ZMvBi7gNAKsjRqovHa2gdY2CkQ2VnCbgt9e8eTvc2f+fLPN+V2sYM44+R7RwriVQQC&#10;qXGmp1bB4fvj8RmED5qMHhyhggt62Fa3N6UujJtph+d9aAWXkC+0gi6EsZDSNx1a7VduROLd0U1W&#10;B45TK82kZy63g0yiaC2t7okvdHrE9w6bn/3JKjh+zQ9ZPtef4bDZpes33W9qd1Hq/m55fQERcAn/&#10;MPzpszpU7FS7ExkvBs7pU8IoD3EMgoE0T3IQtYIkSzOQVSmvX6h+AQAA//8DAFBLAQItABQABgAI&#10;AAAAIQC2gziS/gAAAOEBAAATAAAAAAAAAAAAAAAAAAAAAABbQ29udGVudF9UeXBlc10ueG1sUEsB&#10;Ai0AFAAGAAgAAAAhADj9If/WAAAAlAEAAAsAAAAAAAAAAAAAAAAALwEAAF9yZWxzLy5yZWxzUEsB&#10;Ai0AFAAGAAgAAAAhAHemEOghAgAAJAQAAA4AAAAAAAAAAAAAAAAALgIAAGRycy9lMm9Eb2MueG1s&#10;UEsBAi0AFAAGAAgAAAAhAOHfuafeAAAACgEAAA8AAAAAAAAAAAAAAAAAewQAAGRycy9kb3ducmV2&#10;LnhtbFBLBQYAAAAABAAEAPMAAACGBQAAAAA=&#10;" stroked="f">
                <v:textbox>
                  <w:txbxContent>
                    <w:p w:rsidR="00526537" w:rsidRDefault="00526537" w:rsidP="00526537">
                      <w:pPr>
                        <w:spacing w:after="0" w:line="240" w:lineRule="auto"/>
                      </w:pPr>
                      <w:r>
                        <w:t>CHECK IT OUT!</w:t>
                      </w:r>
                    </w:p>
                    <w:p w:rsidR="00473C89" w:rsidRPr="00526537" w:rsidRDefault="00526537" w:rsidP="00526537">
                      <w:pPr>
                        <w:pStyle w:val="ListParagraph"/>
                        <w:numPr>
                          <w:ilvl w:val="0"/>
                          <w:numId w:val="5"/>
                        </w:numPr>
                        <w:spacing w:after="0" w:line="240" w:lineRule="auto"/>
                        <w:rPr>
                          <w:sz w:val="20"/>
                        </w:rPr>
                      </w:pPr>
                      <w:r w:rsidRPr="00526537">
                        <w:rPr>
                          <w:sz w:val="20"/>
                        </w:rPr>
                        <w:t xml:space="preserve"> The </w:t>
                      </w:r>
                      <w:r w:rsidR="005A00C3" w:rsidRPr="00526537">
                        <w:rPr>
                          <w:sz w:val="20"/>
                        </w:rPr>
                        <w:t xml:space="preserve">new web page on 100% sponsor funded research faculty. </w:t>
                      </w:r>
                    </w:p>
                    <w:p w:rsidR="005A00C3" w:rsidRPr="00526537" w:rsidRDefault="00526537" w:rsidP="00473C89">
                      <w:pPr>
                        <w:pStyle w:val="ListParagraph"/>
                        <w:numPr>
                          <w:ilvl w:val="0"/>
                          <w:numId w:val="5"/>
                        </w:numPr>
                        <w:spacing w:line="240" w:lineRule="auto"/>
                        <w:rPr>
                          <w:sz w:val="20"/>
                        </w:rPr>
                      </w:pPr>
                      <w:r w:rsidRPr="00526537">
                        <w:rPr>
                          <w:sz w:val="20"/>
                        </w:rPr>
                        <w:t xml:space="preserve">Allocation of effort examples – unique problems and how to solve them. </w:t>
                      </w:r>
                    </w:p>
                    <w:p w:rsidR="00526537" w:rsidRPr="00526537" w:rsidRDefault="00526537" w:rsidP="00526537">
                      <w:pPr>
                        <w:pStyle w:val="ListParagraph"/>
                        <w:numPr>
                          <w:ilvl w:val="0"/>
                          <w:numId w:val="5"/>
                        </w:numPr>
                        <w:spacing w:line="240" w:lineRule="auto"/>
                        <w:rPr>
                          <w:sz w:val="20"/>
                        </w:rPr>
                      </w:pPr>
                      <w:hyperlink r:id="rId12" w:history="1">
                        <w:r w:rsidRPr="00526537">
                          <w:rPr>
                            <w:rStyle w:val="Hyperlink"/>
                            <w:sz w:val="20"/>
                          </w:rPr>
                          <w:t>http://f2.washington.edu/fm/maa/fec</w:t>
                        </w:r>
                      </w:hyperlink>
                    </w:p>
                    <w:p w:rsidR="00526537" w:rsidRDefault="00526537" w:rsidP="00526537">
                      <w:pPr>
                        <w:spacing w:line="240" w:lineRule="auto"/>
                      </w:pPr>
                    </w:p>
                  </w:txbxContent>
                </v:textbox>
              </v:shape>
            </w:pict>
          </mc:Fallback>
        </mc:AlternateContent>
      </w:r>
      <w:r w:rsidR="00E4064E">
        <w:rPr>
          <w:rFonts w:ascii="Copperplate Gothic Bold" w:hAnsi="Copperplate Gothic Bold"/>
          <w:noProof/>
        </w:rPr>
        <mc:AlternateContent>
          <mc:Choice Requires="wps">
            <w:drawing>
              <wp:anchor distT="0" distB="0" distL="114300" distR="114300" simplePos="0" relativeHeight="251678720" behindDoc="0" locked="0" layoutInCell="1" allowOverlap="1" wp14:anchorId="23A3942C" wp14:editId="55782C15">
                <wp:simplePos x="0" y="0"/>
                <wp:positionH relativeFrom="column">
                  <wp:posOffset>-17780</wp:posOffset>
                </wp:positionH>
                <wp:positionV relativeFrom="paragraph">
                  <wp:posOffset>25037</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1.95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HLWs2rdAAAACAEAAA8AAABkcnMvZG93bnJl&#10;di54bWxMj8FOwzAQRO9I/IO1SNxahwQimsapoBJCSFwI7d2NlzgiXkexmyZ/z3KC245mNPO23M2u&#10;FxOOofOk4G6dgEBqvOmoVXD4fFk9gghRk9G9J1SwYIBddX1V6sL4C33gVMdWcAmFQiuwMQ6FlKGx&#10;6HRY+wGJvS8/Oh1Zjq00o75wuetlmiS5dLojXrB6wL3F5rs+OwX7+hhIvt2jfX0+Tsuhq99zWpS6&#10;vZmftiAizvEvDL/4jA4VM538mUwQvYJVyuRRQbYBwfZDkvNxUpDmWQayKuX/B6ofAAAA//8DAFBL&#10;AQItABQABgAIAAAAIQC2gziS/gAAAOEBAAATAAAAAAAAAAAAAAAAAAAAAABbQ29udGVudF9UeXBl&#10;c10ueG1sUEsBAi0AFAAGAAgAAAAhADj9If/WAAAAlAEAAAsAAAAAAAAAAAAAAAAALwEAAF9yZWxz&#10;Ly5yZWxzUEsBAi0AFAAGAAgAAAAhAFjYW9WdAgAAsAUAAA4AAAAAAAAAAAAAAAAALgIAAGRycy9l&#10;Mm9Eb2MueG1sUEsBAi0AFAAGAAgAAAAhAHLWs2rdAAAACAEAAA8AAAAAAAAAAAAAAAAA9wQAAGRy&#10;cy9kb3ducmV2LnhtbFBLBQYAAAAABAAEAPMAAAABBg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807A9F" w:rsidRPr="00F30325" w:rsidRDefault="00320193"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143C0A99" wp14:editId="5E6F39D7">
                <wp:simplePos x="0" y="0"/>
                <wp:positionH relativeFrom="column">
                  <wp:posOffset>214085</wp:posOffset>
                </wp:positionH>
                <wp:positionV relativeFrom="paragraph">
                  <wp:posOffset>1464129</wp:posOffset>
                </wp:positionV>
                <wp:extent cx="6255657" cy="315867"/>
                <wp:effectExtent l="0" t="0" r="1206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657" cy="315867"/>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14381C" w:rsidRDefault="0014381C" w:rsidP="00B71491">
                            <w:pPr>
                              <w:pStyle w:val="msoorganizationname2"/>
                              <w:widowControl w:val="0"/>
                              <w:rPr>
                                <w:rFonts w:ascii="Verdana" w:hAnsi="Verdana"/>
                                <w:i/>
                                <w14:ligatures w14:val="none"/>
                              </w:rPr>
                            </w:pPr>
                            <w:r w:rsidRPr="0014381C">
                              <w:rPr>
                                <w:rFonts w:ascii="Verdana" w:hAnsi="Verdana"/>
                                <w:i/>
                                <w14:ligatures w14:val="none"/>
                              </w:rPr>
                              <w:t xml:space="preserve">Do you have questions or want someone </w:t>
                            </w:r>
                            <w:r w:rsidR="00B71491">
                              <w:rPr>
                                <w:rFonts w:ascii="Verdana" w:hAnsi="Verdana"/>
                                <w:i/>
                                <w14:ligatures w14:val="none"/>
                              </w:rPr>
                              <w:t xml:space="preserve">to call you?              </w:t>
                            </w:r>
                            <w:r w:rsidRPr="0014381C">
                              <w:rPr>
                                <w:rFonts w:ascii="Verdana" w:hAnsi="Verdana"/>
                                <w:i/>
                                <w14:ligatures w14:val="none"/>
                              </w:rPr>
                              <w:t>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85pt;margin-top:115.3pt;width:492.55pt;height:2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3BKXgIAAPYEAAAOAAAAZHJzL2Uyb0RvYy54bWysVO1u0zAU/Y/EO1j+T9OEptuiptPoKEIa&#10;H2LjARzHaaw5vsF2m3RPz7WTZh0gISH+WP6495x77odX132jyEEYK0HnNJ7NKRGaQyn1LqffH7Zv&#10;LimxjumSKdAip0dh6fX69atV12YigRpUKQxBEG2zrs1p7VybRZHltWiYnUErND5WYBrm8Gh2UWlY&#10;h+iNipL5fBl1YMrWABfW4u3t8EjXAb+qBHdfqsoKR1ROMTYXVhPWwq/ResWynWFtLfkYBvuHKBom&#10;NZJOULfMMbI38jeoRnIDFio349BEUFWSi6AB1cTzX9Tc16wVQQsmx7ZTmuz/g+WfD18NkWVOl5Ro&#10;1mCJHkTvyDvoSeKz07U2Q6P7Fs1cj9dY5aDUtnfAHy3RsKmZ3okbY6CrBSsxuth7RmeuA471IEX3&#10;CUqkYXsHAaivTONTh8kgiI5VOk6V8aFwvFwmabpMLyjh+PY2Ti+XF4GCZSfv1lj3QUBD/CanBisf&#10;0NnhzjofDctOJp5Mab9aULLcSqXCweyKjTLkwLBXtukmTq9GjhdmXuJ7XYbGcUyqYY/wHjJo9jJH&#10;we6oxED3TVSYZpSSDNnzDS4mOsa50G458imN1t6twtAmxzHtLx2VG3I92Xo3ERp/cpz/nXHyCKyg&#10;3eTcSA3mTwDl48Q82J/UD5p98V1f9KG3Ui/M3xRQHrEHDAyDiB8HbmowT5R0OIQ5tT/2zAhK1EeN&#10;fXQVLxZ+asNhkV4keDDnL8X5C9McoXLqKBm2Gxcm3WvScIP9VsnQCs+RjDHjcIUOGT8CP73n52D1&#10;/F2tfwIAAP//AwBQSwMEFAAGAAgAAAAhAEvuSjDdAAAACwEAAA8AAABkcnMvZG93bnJldi54bWxM&#10;j0FOwzAQRfdI3MEaJHbUTiO1VohTVUhUypLAAVx7SNLGdhQ7abg90xUsZ+brzfvlYXUDW3CKffAK&#10;so0Aht4E2/tWwdfn+4sEFpP2Vg/Bo4IfjHCoHh9KXdhw8x+4NKllBPGx0Aq6lMaC82g6dDpuwoie&#10;bt9hcjrROLXcTvpGcDfwrRA77nTv6UOnR3zr0Fyb2RElM/NF1se1WaXcmwXr02mulXp+Wo+vwBKu&#10;6S8Md31Sh4qczmH2NrJBQZ7vKalgm4sdsHtAZJLKnGklRQ68Kvn/DtUvAAAA//8DAFBLAQItABQA&#10;BgAIAAAAIQC2gziS/gAAAOEBAAATAAAAAAAAAAAAAAAAAAAAAABbQ29udGVudF9UeXBlc10ueG1s&#10;UEsBAi0AFAAGAAgAAAAhADj9If/WAAAAlAEAAAsAAAAAAAAAAAAAAAAALwEAAF9yZWxzLy5yZWxz&#10;UEsBAi0AFAAGAAgAAAAhAIHjcEpeAgAA9gQAAA4AAAAAAAAAAAAAAAAALgIAAGRycy9lMm9Eb2Mu&#10;eG1sUEsBAi0AFAAGAAgAAAAhAEvuSjDdAAAACwEAAA8AAAAAAAAAAAAAAAAAuAQAAGRycy9kb3du&#10;cmV2LnhtbFBLBQYAAAAABAAEAPMAAADCBQAAAAA=&#10;" fillcolor="white [3201]" strokecolor="#f5c159" strokeweight="2pt">
                <v:textbox>
                  <w:txbxContent>
                    <w:p w:rsidR="0014381C" w:rsidRPr="0014381C" w:rsidRDefault="0014381C" w:rsidP="00B71491">
                      <w:pPr>
                        <w:pStyle w:val="msoorganizationname2"/>
                        <w:widowControl w:val="0"/>
                        <w:rPr>
                          <w:rFonts w:ascii="Verdana" w:hAnsi="Verdana"/>
                          <w:i/>
                          <w14:ligatures w14:val="none"/>
                        </w:rPr>
                      </w:pPr>
                      <w:r w:rsidRPr="0014381C">
                        <w:rPr>
                          <w:rFonts w:ascii="Verdana" w:hAnsi="Verdana"/>
                          <w:i/>
                          <w14:ligatures w14:val="none"/>
                        </w:rPr>
                        <w:t xml:space="preserve">Do you have questions or want someone </w:t>
                      </w:r>
                      <w:r w:rsidR="00B71491">
                        <w:rPr>
                          <w:rFonts w:ascii="Verdana" w:hAnsi="Verdana"/>
                          <w:i/>
                          <w14:ligatures w14:val="none"/>
                        </w:rPr>
                        <w:t xml:space="preserve">to call you?              </w:t>
                      </w:r>
                      <w:r w:rsidRPr="0014381C">
                        <w:rPr>
                          <w:rFonts w:ascii="Verdana" w:hAnsi="Verdana"/>
                          <w:i/>
                          <w14:ligatures w14:val="none"/>
                        </w:rPr>
                        <w:t>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A49A6"/>
    <w:multiLevelType w:val="hybridMultilevel"/>
    <w:tmpl w:val="6C905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402E6"/>
    <w:rsid w:val="00073259"/>
    <w:rsid w:val="0014381C"/>
    <w:rsid w:val="00150AC0"/>
    <w:rsid w:val="001E7A84"/>
    <w:rsid w:val="00212B4A"/>
    <w:rsid w:val="00226063"/>
    <w:rsid w:val="00236360"/>
    <w:rsid w:val="00266023"/>
    <w:rsid w:val="00286054"/>
    <w:rsid w:val="002923B0"/>
    <w:rsid w:val="002B7D28"/>
    <w:rsid w:val="00320193"/>
    <w:rsid w:val="00322D0B"/>
    <w:rsid w:val="00420A38"/>
    <w:rsid w:val="00473C89"/>
    <w:rsid w:val="004E0890"/>
    <w:rsid w:val="004E7D6C"/>
    <w:rsid w:val="00526537"/>
    <w:rsid w:val="005703B4"/>
    <w:rsid w:val="005A00C3"/>
    <w:rsid w:val="006B40C3"/>
    <w:rsid w:val="006D6942"/>
    <w:rsid w:val="006E51C2"/>
    <w:rsid w:val="0070251E"/>
    <w:rsid w:val="00766F29"/>
    <w:rsid w:val="007A7F58"/>
    <w:rsid w:val="007F5775"/>
    <w:rsid w:val="00807A9F"/>
    <w:rsid w:val="00897AEE"/>
    <w:rsid w:val="009009EF"/>
    <w:rsid w:val="00983910"/>
    <w:rsid w:val="009A4CCC"/>
    <w:rsid w:val="009E1B09"/>
    <w:rsid w:val="00A36B72"/>
    <w:rsid w:val="00A7010F"/>
    <w:rsid w:val="00A85EF5"/>
    <w:rsid w:val="00B05A8C"/>
    <w:rsid w:val="00B71491"/>
    <w:rsid w:val="00BB5B99"/>
    <w:rsid w:val="00BB711D"/>
    <w:rsid w:val="00BC6CA7"/>
    <w:rsid w:val="00C5235D"/>
    <w:rsid w:val="00CE49D9"/>
    <w:rsid w:val="00D93317"/>
    <w:rsid w:val="00E11F7B"/>
    <w:rsid w:val="00E309A6"/>
    <w:rsid w:val="00E4064E"/>
    <w:rsid w:val="00E46E57"/>
    <w:rsid w:val="00E53FA4"/>
    <w:rsid w:val="00F30325"/>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nline@u.washington.edu"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mailto:pronline@u.washington.edu" TargetMode="External"/><Relationship Id="rId12" Type="http://schemas.openxmlformats.org/officeDocument/2006/relationships/hyperlink" Target="http://f2.washington.edu/fm/maa/f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f2.washington.edu/fm/maa/f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hington.edu/research/index.php?page=ospLearning" TargetMode="External"/><Relationship Id="rId4" Type="http://schemas.openxmlformats.org/officeDocument/2006/relationships/settings" Target="settings.xml"/><Relationship Id="rId9" Type="http://schemas.openxmlformats.org/officeDocument/2006/relationships/hyperlink" Target="http://www.washington.edu/research/index.php?page=osp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cp:lastModifiedBy>
  <cp:revision>3</cp:revision>
  <dcterms:created xsi:type="dcterms:W3CDTF">2014-11-20T17:54:00Z</dcterms:created>
  <dcterms:modified xsi:type="dcterms:W3CDTF">2014-12-19T17:26:00Z</dcterms:modified>
</cp:coreProperties>
</file>