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column">
              <wp:posOffset>5529580</wp:posOffset>
            </wp:positionH>
            <wp:positionV relativeFrom="paragraph">
              <wp:posOffset>-371475</wp:posOffset>
            </wp:positionV>
            <wp:extent cx="1321435" cy="1677670"/>
            <wp:effectExtent l="0" t="0" r="0" b="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321435" cy="1677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0419BB7E" wp14:editId="6A3A7BC8">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305128">
        <w:rPr>
          <w:rFonts w:ascii="Copperplate Gothic Bold" w:hAnsi="Copperplate Gothic Bold"/>
          <w:i/>
        </w:rPr>
        <w:t>February 2014</w:t>
      </w:r>
    </w:p>
    <w:p w:rsidR="00F30325" w:rsidRPr="00F30325" w:rsidRDefault="005703B4" w:rsidP="00F30325">
      <w:pPr>
        <w:rPr>
          <w:rFonts w:ascii="Copperplate Gothic Bold" w:hAnsi="Copperplate Gothic Bold"/>
        </w:rPr>
      </w:pPr>
      <w:r w:rsidRPr="0001733A">
        <w:rPr>
          <w:rFonts w:ascii="Copperplate Gothic Bold" w:hAnsi="Copperplate Gothic Bold"/>
          <w:i/>
          <w:noProof/>
        </w:rPr>
        <mc:AlternateContent>
          <mc:Choice Requires="wps">
            <w:drawing>
              <wp:anchor distT="0" distB="0" distL="114300" distR="114300" simplePos="0" relativeHeight="251663360" behindDoc="0" locked="0" layoutInCell="1" allowOverlap="1" wp14:anchorId="60AB8B89" wp14:editId="3014E57B">
                <wp:simplePos x="0" y="0"/>
                <wp:positionH relativeFrom="column">
                  <wp:posOffset>3629</wp:posOffset>
                </wp:positionH>
                <wp:positionV relativeFrom="paragraph">
                  <wp:posOffset>227603</wp:posOffset>
                </wp:positionV>
                <wp:extent cx="6549571" cy="3403600"/>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571" cy="3403600"/>
                        </a:xfrm>
                        <a:prstGeom prst="rect">
                          <a:avLst/>
                        </a:prstGeom>
                        <a:solidFill>
                          <a:srgbClr val="FFFFFF"/>
                        </a:solidFill>
                        <a:ln w="9525">
                          <a:noFill/>
                          <a:miter lim="800000"/>
                          <a:headEnd/>
                          <a:tailEnd/>
                        </a:ln>
                      </wps:spPr>
                      <wps:txbx>
                        <w:txbxContent>
                          <w:p w:rsidR="00305128" w:rsidRPr="00EE7826" w:rsidRDefault="0001733A" w:rsidP="00305128">
                            <w:pPr>
                              <w:widowControl w:val="0"/>
                              <w:rPr>
                                <w:sz w:val="21"/>
                                <w:szCs w:val="20"/>
                              </w:rPr>
                            </w:pPr>
                            <w:r>
                              <w:t> </w:t>
                            </w:r>
                            <w:r w:rsidR="00305128" w:rsidRPr="00EE7826">
                              <w:rPr>
                                <w:b/>
                                <w:sz w:val="28"/>
                                <w:szCs w:val="28"/>
                              </w:rPr>
                              <w:t>New Non-FEC Cost Share Reporting Process begins February 2014</w:t>
                            </w:r>
                          </w:p>
                          <w:p w:rsidR="00305128" w:rsidRDefault="00305128" w:rsidP="00305128">
                            <w:pPr>
                              <w:pStyle w:val="NormalWeb"/>
                              <w:rPr>
                                <w:rFonts w:ascii="Calibri" w:hAnsi="Calibri" w:cs="Times New Roman"/>
                                <w:sz w:val="22"/>
                                <w:szCs w:val="22"/>
                              </w:rPr>
                            </w:pPr>
                            <w:r>
                              <w:rPr>
                                <w:rFonts w:ascii="Calibri" w:hAnsi="Calibri" w:cs="Times New Roman"/>
                                <w:sz w:val="22"/>
                                <w:szCs w:val="22"/>
                              </w:rPr>
                              <w:t xml:space="preserve">Beginning February 2014, GCA will implement a new non-FEC cost share reporting process. The new              Non-FEC Cost Share application provides for electronic selection of University incurred non-FEC expense transactions identified as cost share for a specific sponsored budget. </w:t>
                            </w:r>
                          </w:p>
                          <w:p w:rsidR="00305128" w:rsidRDefault="00305128" w:rsidP="00305128">
                            <w:pPr>
                              <w:pStyle w:val="NormalWeb"/>
                              <w:rPr>
                                <w:rFonts w:ascii="Calibri" w:hAnsi="Calibri" w:cs="Times New Roman"/>
                                <w:sz w:val="22"/>
                                <w:szCs w:val="22"/>
                              </w:rPr>
                            </w:pPr>
                            <w:r>
                              <w:rPr>
                                <w:rFonts w:ascii="Calibri" w:hAnsi="Calibri" w:cs="Times New Roman"/>
                                <w:sz w:val="22"/>
                                <w:szCs w:val="22"/>
                              </w:rPr>
                              <w:t>This new application will reduce the risk of non-compliance with Non-FEC regulations and policies while providing improved administrative efficiencies for departmental personnel.</w:t>
                            </w:r>
                          </w:p>
                          <w:p w:rsidR="00305128" w:rsidRDefault="00725CF0" w:rsidP="00305128">
                            <w:pPr>
                              <w:pStyle w:val="NormalWeb"/>
                            </w:pPr>
                            <w:hyperlink r:id="rId7" w:history="1">
                              <w:r w:rsidR="00305128">
                                <w:rPr>
                                  <w:rStyle w:val="Hyperlink"/>
                                  <w:rFonts w:ascii="Calibri" w:hAnsi="Calibri"/>
                                  <w:color w:val="000000"/>
                                  <w:sz w:val="22"/>
                                  <w:szCs w:val="22"/>
                                </w:rPr>
                                <w:t>Learn more about the new process.</w:t>
                              </w:r>
                            </w:hyperlink>
                          </w:p>
                          <w:p w:rsidR="0001733A" w:rsidRPr="00552A67" w:rsidRDefault="0001733A" w:rsidP="0001733A">
                            <w:pPr>
                              <w:widowControl w:val="0"/>
                              <w:rPr>
                                <w:sz w:val="8"/>
                                <w:szCs w:val="20"/>
                              </w:rPr>
                            </w:pPr>
                          </w:p>
                          <w:p w:rsidR="0001733A" w:rsidRDefault="00EE7826" w:rsidP="00EE7826">
                            <w:pPr>
                              <w:widowControl w:val="0"/>
                              <w:rPr>
                                <w:b/>
                                <w:sz w:val="28"/>
                                <w:szCs w:val="28"/>
                              </w:rPr>
                            </w:pPr>
                            <w:r w:rsidRPr="00EE7826">
                              <w:rPr>
                                <w:b/>
                                <w:sz w:val="28"/>
                                <w:szCs w:val="28"/>
                              </w:rPr>
                              <w:t xml:space="preserve">Authorization Required </w:t>
                            </w:r>
                            <w:r>
                              <w:rPr>
                                <w:b/>
                                <w:sz w:val="28"/>
                                <w:szCs w:val="28"/>
                              </w:rPr>
                              <w:t xml:space="preserve">for </w:t>
                            </w:r>
                            <w:r w:rsidRPr="00EE7826">
                              <w:rPr>
                                <w:b/>
                                <w:sz w:val="28"/>
                                <w:szCs w:val="28"/>
                              </w:rPr>
                              <w:t xml:space="preserve">Grant and Contract Certification </w:t>
                            </w:r>
                            <w:r>
                              <w:rPr>
                                <w:b/>
                                <w:sz w:val="28"/>
                                <w:szCs w:val="28"/>
                              </w:rPr>
                              <w:t xml:space="preserve">Report </w:t>
                            </w:r>
                            <w:r w:rsidRPr="00EE7826">
                              <w:rPr>
                                <w:b/>
                                <w:sz w:val="28"/>
                                <w:szCs w:val="28"/>
                              </w:rPr>
                              <w:t>PUC Download</w:t>
                            </w:r>
                          </w:p>
                          <w:p w:rsidR="00490307" w:rsidRDefault="00490307" w:rsidP="00EE7826">
                            <w:pPr>
                              <w:pStyle w:val="NormalWeb"/>
                              <w:rPr>
                                <w:rFonts w:ascii="Calibri" w:hAnsi="Calibri" w:cs="Times New Roman"/>
                                <w:sz w:val="22"/>
                                <w:szCs w:val="22"/>
                              </w:rPr>
                            </w:pPr>
                            <w:r>
                              <w:rPr>
                                <w:rFonts w:ascii="Calibri" w:hAnsi="Calibri" w:cs="Times New Roman"/>
                                <w:sz w:val="22"/>
                                <w:szCs w:val="22"/>
                              </w:rPr>
                              <w:t xml:space="preserve">Department GCCR Generators must </w:t>
                            </w:r>
                            <w:r w:rsidR="00EE7826">
                              <w:rPr>
                                <w:rFonts w:ascii="Calibri" w:hAnsi="Calibri" w:cs="Times New Roman"/>
                                <w:sz w:val="22"/>
                                <w:szCs w:val="22"/>
                              </w:rPr>
                              <w:t>have ASTRA author</w:t>
                            </w:r>
                            <w:r>
                              <w:rPr>
                                <w:rFonts w:ascii="Calibri" w:hAnsi="Calibri" w:cs="Times New Roman"/>
                                <w:sz w:val="22"/>
                                <w:szCs w:val="22"/>
                              </w:rPr>
                              <w:t xml:space="preserve">ization for each PUC they are downloading. While it is possible to download GCCRs for PUCs for which they do not have specific authorization, MAA will not be able to track the download. This will result in additional – and needless – compliance review. </w:t>
                            </w:r>
                          </w:p>
                          <w:p w:rsidR="00EE7826" w:rsidRPr="00EE7826" w:rsidRDefault="00490307" w:rsidP="00EE7826">
                            <w:pPr>
                              <w:pStyle w:val="NormalWeb"/>
                              <w:rPr>
                                <w:rFonts w:ascii="Calibri" w:hAnsi="Calibri" w:cs="Times New Roman"/>
                                <w:sz w:val="22"/>
                                <w:szCs w:val="22"/>
                              </w:rPr>
                            </w:pPr>
                            <w:r>
                              <w:rPr>
                                <w:rFonts w:ascii="Calibri" w:hAnsi="Calibri" w:cs="Times New Roman"/>
                                <w:sz w:val="22"/>
                                <w:szCs w:val="22"/>
                              </w:rPr>
                              <w:t xml:space="preserve">Authorization for </w:t>
                            </w:r>
                            <w:r w:rsidR="00A34092">
                              <w:rPr>
                                <w:rFonts w:ascii="Calibri" w:hAnsi="Calibri" w:cs="Times New Roman"/>
                                <w:sz w:val="22"/>
                                <w:szCs w:val="22"/>
                              </w:rPr>
                              <w:t xml:space="preserve">a </w:t>
                            </w:r>
                            <w:r>
                              <w:rPr>
                                <w:rFonts w:ascii="Calibri" w:hAnsi="Calibri" w:cs="Times New Roman"/>
                                <w:sz w:val="22"/>
                                <w:szCs w:val="22"/>
                              </w:rPr>
                              <w:t>P</w:t>
                            </w:r>
                            <w:r w:rsidR="00A34092">
                              <w:rPr>
                                <w:rFonts w:ascii="Calibri" w:hAnsi="Calibri" w:cs="Times New Roman"/>
                                <w:sz w:val="22"/>
                                <w:szCs w:val="22"/>
                              </w:rPr>
                              <w:t>UC</w:t>
                            </w:r>
                            <w:r>
                              <w:rPr>
                                <w:rFonts w:ascii="Calibri" w:hAnsi="Calibri" w:cs="Times New Roman"/>
                                <w:sz w:val="22"/>
                                <w:szCs w:val="22"/>
                              </w:rPr>
                              <w:t xml:space="preserve"> is set up in </w:t>
                            </w:r>
                            <w:r w:rsidRPr="00725CF0">
                              <w:rPr>
                                <w:rFonts w:ascii="Calibri" w:hAnsi="Calibri" w:cs="Times New Roman"/>
                                <w:sz w:val="22"/>
                                <w:szCs w:val="22"/>
                              </w:rPr>
                              <w:t xml:space="preserve">the </w:t>
                            </w:r>
                            <w:r w:rsidR="00EF52A5" w:rsidRPr="00725CF0">
                              <w:rPr>
                                <w:rFonts w:ascii="Calibri" w:hAnsi="Calibri" w:cs="Times New Roman"/>
                                <w:sz w:val="22"/>
                                <w:szCs w:val="22"/>
                              </w:rPr>
                              <w:t xml:space="preserve">“Limit” </w:t>
                            </w:r>
                            <w:r w:rsidRPr="00725CF0">
                              <w:rPr>
                                <w:rFonts w:ascii="Calibri" w:hAnsi="Calibri" w:cs="Times New Roman"/>
                                <w:sz w:val="22"/>
                                <w:szCs w:val="22"/>
                              </w:rPr>
                              <w:t xml:space="preserve">field </w:t>
                            </w:r>
                            <w:r>
                              <w:rPr>
                                <w:rFonts w:ascii="Calibri" w:hAnsi="Calibri" w:cs="Times New Roman"/>
                                <w:sz w:val="22"/>
                                <w:szCs w:val="22"/>
                              </w:rPr>
                              <w:t xml:space="preserve">in the “Create New Authorization” screen in ASTRA. The ASTRA Authorizer should set up a separate authorization for each PUC the GCCR Generator will download.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7.9pt;width:515.7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" stroked="f">
                <v:textbox>
                  <w:txbxContent>
                    <w:p w:rsidR="00305128" w:rsidRPr="00EE7826" w:rsidRDefault="0001733A" w:rsidP="00305128">
                      <w:pPr>
                        <w:widowControl w:val="0"/>
                        <w:rPr>
                          <w:sz w:val="21"/>
                          <w:szCs w:val="20"/>
                        </w:rPr>
                      </w:pPr>
                      <w:r>
                        <w:t> </w:t>
                      </w:r>
                      <w:r w:rsidR="00305128" w:rsidRPr="00EE7826">
                        <w:rPr>
                          <w:b/>
                          <w:sz w:val="28"/>
                          <w:szCs w:val="28"/>
                        </w:rPr>
                        <w:t>New Non-FEC Cost Share Reporting Process begins February 2014</w:t>
                      </w:r>
                    </w:p>
                    <w:p w:rsidR="00305128" w:rsidRDefault="00305128" w:rsidP="00305128">
                      <w:pPr>
                        <w:pStyle w:val="NormalWeb"/>
                        <w:rPr>
                          <w:rFonts w:ascii="Calibri" w:hAnsi="Calibri" w:cs="Times New Roman"/>
                          <w:sz w:val="22"/>
                          <w:szCs w:val="22"/>
                        </w:rPr>
                      </w:pPr>
                      <w:r>
                        <w:rPr>
                          <w:rFonts w:ascii="Calibri" w:hAnsi="Calibri" w:cs="Times New Roman"/>
                          <w:sz w:val="22"/>
                          <w:szCs w:val="22"/>
                        </w:rPr>
                        <w:t xml:space="preserve">Beginning February 2014, GCA will implement a new non-FEC cost share reporting process. The new              Non-FEC Cost Share application provides for electronic selection of University incurred non-FEC expense transactions identified as cost share for a specific sponsored budget. </w:t>
                      </w:r>
                    </w:p>
                    <w:p w:rsidR="00305128" w:rsidRDefault="00305128" w:rsidP="00305128">
                      <w:pPr>
                        <w:pStyle w:val="NormalWeb"/>
                        <w:rPr>
                          <w:rFonts w:ascii="Calibri" w:hAnsi="Calibri" w:cs="Times New Roman"/>
                          <w:sz w:val="22"/>
                          <w:szCs w:val="22"/>
                        </w:rPr>
                      </w:pPr>
                      <w:r>
                        <w:rPr>
                          <w:rFonts w:ascii="Calibri" w:hAnsi="Calibri" w:cs="Times New Roman"/>
                          <w:sz w:val="22"/>
                          <w:szCs w:val="22"/>
                        </w:rPr>
                        <w:t>This new application will reduce the risk of non-compliance with Non-FEC regulations and policies while providing improved administrative efficiencies for departmental personnel.</w:t>
                      </w:r>
                    </w:p>
                    <w:p w:rsidR="00305128" w:rsidRDefault="00725CF0" w:rsidP="00305128">
                      <w:pPr>
                        <w:pStyle w:val="NormalWeb"/>
                      </w:pPr>
                      <w:hyperlink r:id="rId8" w:history="1">
                        <w:r w:rsidR="00305128">
                          <w:rPr>
                            <w:rStyle w:val="Hyperlink"/>
                            <w:rFonts w:ascii="Calibri" w:hAnsi="Calibri"/>
                            <w:color w:val="000000"/>
                            <w:sz w:val="22"/>
                            <w:szCs w:val="22"/>
                          </w:rPr>
                          <w:t>Learn more about the new process.</w:t>
                        </w:r>
                      </w:hyperlink>
                    </w:p>
                    <w:p w:rsidR="0001733A" w:rsidRPr="00552A67" w:rsidRDefault="0001733A" w:rsidP="0001733A">
                      <w:pPr>
                        <w:widowControl w:val="0"/>
                        <w:rPr>
                          <w:sz w:val="8"/>
                          <w:szCs w:val="20"/>
                        </w:rPr>
                      </w:pPr>
                    </w:p>
                    <w:p w:rsidR="0001733A" w:rsidRDefault="00EE7826" w:rsidP="00EE7826">
                      <w:pPr>
                        <w:widowControl w:val="0"/>
                        <w:rPr>
                          <w:b/>
                          <w:sz w:val="28"/>
                          <w:szCs w:val="28"/>
                        </w:rPr>
                      </w:pPr>
                      <w:r w:rsidRPr="00EE7826">
                        <w:rPr>
                          <w:b/>
                          <w:sz w:val="28"/>
                          <w:szCs w:val="28"/>
                        </w:rPr>
                        <w:t xml:space="preserve">Authorization Required </w:t>
                      </w:r>
                      <w:r>
                        <w:rPr>
                          <w:b/>
                          <w:sz w:val="28"/>
                          <w:szCs w:val="28"/>
                        </w:rPr>
                        <w:t xml:space="preserve">for </w:t>
                      </w:r>
                      <w:r w:rsidRPr="00EE7826">
                        <w:rPr>
                          <w:b/>
                          <w:sz w:val="28"/>
                          <w:szCs w:val="28"/>
                        </w:rPr>
                        <w:t xml:space="preserve">Grant and Contract Certification </w:t>
                      </w:r>
                      <w:r>
                        <w:rPr>
                          <w:b/>
                          <w:sz w:val="28"/>
                          <w:szCs w:val="28"/>
                        </w:rPr>
                        <w:t xml:space="preserve">Report </w:t>
                      </w:r>
                      <w:r w:rsidRPr="00EE7826">
                        <w:rPr>
                          <w:b/>
                          <w:sz w:val="28"/>
                          <w:szCs w:val="28"/>
                        </w:rPr>
                        <w:t>PUC Download</w:t>
                      </w:r>
                    </w:p>
                    <w:p w:rsidR="00490307" w:rsidRDefault="00490307" w:rsidP="00EE7826">
                      <w:pPr>
                        <w:pStyle w:val="NormalWeb"/>
                        <w:rPr>
                          <w:rFonts w:ascii="Calibri" w:hAnsi="Calibri" w:cs="Times New Roman"/>
                          <w:sz w:val="22"/>
                          <w:szCs w:val="22"/>
                        </w:rPr>
                      </w:pPr>
                      <w:r>
                        <w:rPr>
                          <w:rFonts w:ascii="Calibri" w:hAnsi="Calibri" w:cs="Times New Roman"/>
                          <w:sz w:val="22"/>
                          <w:szCs w:val="22"/>
                        </w:rPr>
                        <w:t xml:space="preserve">Department GCCR Generators must </w:t>
                      </w:r>
                      <w:r w:rsidR="00EE7826">
                        <w:rPr>
                          <w:rFonts w:ascii="Calibri" w:hAnsi="Calibri" w:cs="Times New Roman"/>
                          <w:sz w:val="22"/>
                          <w:szCs w:val="22"/>
                        </w:rPr>
                        <w:t>have ASTRA author</w:t>
                      </w:r>
                      <w:r>
                        <w:rPr>
                          <w:rFonts w:ascii="Calibri" w:hAnsi="Calibri" w:cs="Times New Roman"/>
                          <w:sz w:val="22"/>
                          <w:szCs w:val="22"/>
                        </w:rPr>
                        <w:t xml:space="preserve">ization for each PUC they are downloading. While it is possible to download GCCRs for PUCs for which they do not have specific authorization, MAA will not be able to track the download. This will result in additional – and needless – compliance review. </w:t>
                      </w:r>
                    </w:p>
                    <w:p w:rsidR="00EE7826" w:rsidRPr="00EE7826" w:rsidRDefault="00490307" w:rsidP="00EE7826">
                      <w:pPr>
                        <w:pStyle w:val="NormalWeb"/>
                        <w:rPr>
                          <w:rFonts w:ascii="Calibri" w:hAnsi="Calibri" w:cs="Times New Roman"/>
                          <w:sz w:val="22"/>
                          <w:szCs w:val="22"/>
                        </w:rPr>
                      </w:pPr>
                      <w:r>
                        <w:rPr>
                          <w:rFonts w:ascii="Calibri" w:hAnsi="Calibri" w:cs="Times New Roman"/>
                          <w:sz w:val="22"/>
                          <w:szCs w:val="22"/>
                        </w:rPr>
                        <w:t xml:space="preserve">Authorization for </w:t>
                      </w:r>
                      <w:r w:rsidR="00A34092">
                        <w:rPr>
                          <w:rFonts w:ascii="Calibri" w:hAnsi="Calibri" w:cs="Times New Roman"/>
                          <w:sz w:val="22"/>
                          <w:szCs w:val="22"/>
                        </w:rPr>
                        <w:t xml:space="preserve">a </w:t>
                      </w:r>
                      <w:r>
                        <w:rPr>
                          <w:rFonts w:ascii="Calibri" w:hAnsi="Calibri" w:cs="Times New Roman"/>
                          <w:sz w:val="22"/>
                          <w:szCs w:val="22"/>
                        </w:rPr>
                        <w:t>P</w:t>
                      </w:r>
                      <w:r w:rsidR="00A34092">
                        <w:rPr>
                          <w:rFonts w:ascii="Calibri" w:hAnsi="Calibri" w:cs="Times New Roman"/>
                          <w:sz w:val="22"/>
                          <w:szCs w:val="22"/>
                        </w:rPr>
                        <w:t>UC</w:t>
                      </w:r>
                      <w:r>
                        <w:rPr>
                          <w:rFonts w:ascii="Calibri" w:hAnsi="Calibri" w:cs="Times New Roman"/>
                          <w:sz w:val="22"/>
                          <w:szCs w:val="22"/>
                        </w:rPr>
                        <w:t xml:space="preserve"> is set up in </w:t>
                      </w:r>
                      <w:r w:rsidRPr="00725CF0">
                        <w:rPr>
                          <w:rFonts w:ascii="Calibri" w:hAnsi="Calibri" w:cs="Times New Roman"/>
                          <w:sz w:val="22"/>
                          <w:szCs w:val="22"/>
                        </w:rPr>
                        <w:t xml:space="preserve">the </w:t>
                      </w:r>
                      <w:r w:rsidR="00EF52A5" w:rsidRPr="00725CF0">
                        <w:rPr>
                          <w:rFonts w:ascii="Calibri" w:hAnsi="Calibri" w:cs="Times New Roman"/>
                          <w:sz w:val="22"/>
                          <w:szCs w:val="22"/>
                        </w:rPr>
                        <w:t xml:space="preserve">“Limit” </w:t>
                      </w:r>
                      <w:r w:rsidRPr="00725CF0">
                        <w:rPr>
                          <w:rFonts w:ascii="Calibri" w:hAnsi="Calibri" w:cs="Times New Roman"/>
                          <w:sz w:val="22"/>
                          <w:szCs w:val="22"/>
                        </w:rPr>
                        <w:t xml:space="preserve">field </w:t>
                      </w:r>
                      <w:r>
                        <w:rPr>
                          <w:rFonts w:ascii="Calibri" w:hAnsi="Calibri" w:cs="Times New Roman"/>
                          <w:sz w:val="22"/>
                          <w:szCs w:val="22"/>
                        </w:rPr>
                        <w:t xml:space="preserve">in the “Create New Authorization” screen in ASTRA. The ASTRA Authorizer should set up a separate authorization for each PUC the GCCR Generator will download. </w:t>
                      </w:r>
                    </w:p>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552A67"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52C33CF7" wp14:editId="2706AB85">
                <wp:simplePos x="0" y="0"/>
                <wp:positionH relativeFrom="column">
                  <wp:posOffset>3414486</wp:posOffset>
                </wp:positionH>
                <wp:positionV relativeFrom="paragraph">
                  <wp:posOffset>186509</wp:posOffset>
                </wp:positionV>
                <wp:extent cx="3095625" cy="3846285"/>
                <wp:effectExtent l="0" t="0" r="9525"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846285"/>
                        </a:xfrm>
                        <a:prstGeom prst="rect">
                          <a:avLst/>
                        </a:prstGeom>
                        <a:solidFill>
                          <a:srgbClr val="FFFFFF"/>
                        </a:solidFill>
                        <a:ln w="9525">
                          <a:noFill/>
                          <a:miter lim="800000"/>
                          <a:headEnd/>
                          <a:tailEnd/>
                        </a:ln>
                      </wps:spPr>
                      <wps:txbx>
                        <w:txbxContent>
                          <w:p w:rsidR="0014381C" w:rsidRDefault="00BC06E5" w:rsidP="00BC06E5">
                            <w:pPr>
                              <w:widowControl w:val="0"/>
                              <w:rPr>
                                <w:b/>
                                <w:sz w:val="28"/>
                                <w:szCs w:val="28"/>
                              </w:rPr>
                            </w:pPr>
                            <w:r w:rsidRPr="00BC06E5">
                              <w:rPr>
                                <w:b/>
                                <w:sz w:val="28"/>
                                <w:szCs w:val="28"/>
                              </w:rPr>
                              <w:t xml:space="preserve">Cost Share Calculator </w:t>
                            </w:r>
                            <w:r>
                              <w:rPr>
                                <w:b/>
                                <w:sz w:val="28"/>
                                <w:szCs w:val="28"/>
                              </w:rPr>
                              <w:t>Now Reflects Correct Cost Share I/</w:t>
                            </w:r>
                            <w:proofErr w:type="gramStart"/>
                            <w:r>
                              <w:rPr>
                                <w:b/>
                                <w:sz w:val="28"/>
                                <w:szCs w:val="28"/>
                              </w:rPr>
                              <w:t>C  –</w:t>
                            </w:r>
                            <w:proofErr w:type="gramEnd"/>
                            <w:r>
                              <w:rPr>
                                <w:b/>
                                <w:sz w:val="28"/>
                                <w:szCs w:val="28"/>
                              </w:rPr>
                              <w:t xml:space="preserve">  F&amp;A Rate</w:t>
                            </w:r>
                          </w:p>
                          <w:p w:rsidR="002B5E79" w:rsidRDefault="002B5E79" w:rsidP="00BC06E5">
                            <w:pPr>
                              <w:widowControl w:val="0"/>
                              <w:rPr>
                                <w:szCs w:val="28"/>
                              </w:rPr>
                            </w:pPr>
                            <w:r>
                              <w:rPr>
                                <w:szCs w:val="28"/>
                              </w:rPr>
                              <w:t xml:space="preserve">The Cost Share Calculator has been updated to require entry of the Cost Share Facilities and Administrative (F&amp;A) rate. </w:t>
                            </w:r>
                          </w:p>
                          <w:p w:rsidR="00BC06E5" w:rsidRDefault="002B5E79" w:rsidP="00BC06E5">
                            <w:pPr>
                              <w:widowControl w:val="0"/>
                              <w:rPr>
                                <w:szCs w:val="28"/>
                              </w:rPr>
                            </w:pPr>
                            <w:r>
                              <w:rPr>
                                <w:szCs w:val="28"/>
                              </w:rPr>
                              <w:t xml:space="preserve">The default for the cost share entered into FIN/MyFD is the standard negotiated rate. </w:t>
                            </w:r>
                            <w:bookmarkStart w:id="0" w:name="_GoBack"/>
                            <w:r w:rsidR="00EF52A5" w:rsidRPr="00725CF0">
                              <w:rPr>
                                <w:szCs w:val="28"/>
                              </w:rPr>
                              <w:t>However, s</w:t>
                            </w:r>
                            <w:r w:rsidRPr="00725CF0">
                              <w:rPr>
                                <w:szCs w:val="28"/>
                              </w:rPr>
                              <w:t xml:space="preserve">ince </w:t>
                            </w:r>
                            <w:bookmarkEnd w:id="0"/>
                            <w:r>
                              <w:rPr>
                                <w:szCs w:val="28"/>
                              </w:rPr>
                              <w:t xml:space="preserve">some sponsors may require a specific rate be used for the cost share, it is important to use the </w:t>
                            </w:r>
                            <w:r w:rsidRPr="00EF52A5">
                              <w:rPr>
                                <w:b/>
                                <w:i/>
                                <w:color w:val="FF0000"/>
                                <w:szCs w:val="28"/>
                              </w:rPr>
                              <w:t>Cost Share F&amp;A</w:t>
                            </w:r>
                            <w:r>
                              <w:rPr>
                                <w:szCs w:val="28"/>
                              </w:rPr>
                              <w:t xml:space="preserve"> rate when calculating the amount of cost share committed. </w:t>
                            </w:r>
                          </w:p>
                          <w:p w:rsidR="002B5E79" w:rsidRDefault="002B5E79" w:rsidP="00BC06E5">
                            <w:pPr>
                              <w:widowControl w:val="0"/>
                              <w:rPr>
                                <w:szCs w:val="28"/>
                              </w:rPr>
                            </w:pPr>
                            <w:r>
                              <w:rPr>
                                <w:szCs w:val="28"/>
                              </w:rPr>
                              <w:t xml:space="preserve">This rate is displayed in the Budget Profile MyFD in the section “Indirect Cost.” The Cost Share I/C (indirect cost) Rate is the last entry in this section. </w:t>
                            </w:r>
                          </w:p>
                          <w:p w:rsidR="00356666" w:rsidRDefault="00725CF0" w:rsidP="00BC06E5">
                            <w:pPr>
                              <w:widowControl w:val="0"/>
                              <w:rPr>
                                <w:szCs w:val="28"/>
                              </w:rPr>
                            </w:pPr>
                            <w:hyperlink r:id="rId9" w:history="1">
                              <w:r w:rsidR="00356666" w:rsidRPr="00356666">
                                <w:rPr>
                                  <w:rStyle w:val="Hyperlink"/>
                                  <w:szCs w:val="28"/>
                                </w:rPr>
                                <w:t>https://ucs.admin.washington.edu/MyFD/UWNetID/budgetprofile.aspx#Indirect Cost</w:t>
                              </w:r>
                            </w:hyperlink>
                            <w:r w:rsidR="00356666">
                              <w:rPr>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85pt;margin-top:14.7pt;width:243.75pt;height:30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p1IgIAACM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" stroked="f">
                <v:textbox>
                  <w:txbxContent>
                    <w:p w:rsidR="0014381C" w:rsidRDefault="00BC06E5" w:rsidP="00BC06E5">
                      <w:pPr>
                        <w:widowControl w:val="0"/>
                        <w:rPr>
                          <w:b/>
                          <w:sz w:val="28"/>
                          <w:szCs w:val="28"/>
                        </w:rPr>
                      </w:pPr>
                      <w:r w:rsidRPr="00BC06E5">
                        <w:rPr>
                          <w:b/>
                          <w:sz w:val="28"/>
                          <w:szCs w:val="28"/>
                        </w:rPr>
                        <w:t xml:space="preserve">Cost Share Calculator </w:t>
                      </w:r>
                      <w:r>
                        <w:rPr>
                          <w:b/>
                          <w:sz w:val="28"/>
                          <w:szCs w:val="28"/>
                        </w:rPr>
                        <w:t>Now Reflects Correct Cost Share I/</w:t>
                      </w:r>
                      <w:proofErr w:type="gramStart"/>
                      <w:r>
                        <w:rPr>
                          <w:b/>
                          <w:sz w:val="28"/>
                          <w:szCs w:val="28"/>
                        </w:rPr>
                        <w:t>C  –</w:t>
                      </w:r>
                      <w:proofErr w:type="gramEnd"/>
                      <w:r>
                        <w:rPr>
                          <w:b/>
                          <w:sz w:val="28"/>
                          <w:szCs w:val="28"/>
                        </w:rPr>
                        <w:t xml:space="preserve">  F&amp;A Rate</w:t>
                      </w:r>
                    </w:p>
                    <w:p w:rsidR="002B5E79" w:rsidRDefault="002B5E79" w:rsidP="00BC06E5">
                      <w:pPr>
                        <w:widowControl w:val="0"/>
                        <w:rPr>
                          <w:szCs w:val="28"/>
                        </w:rPr>
                      </w:pPr>
                      <w:r>
                        <w:rPr>
                          <w:szCs w:val="28"/>
                        </w:rPr>
                        <w:t xml:space="preserve">The Cost Share Calculator has been updated to require entry of the Cost Share Facilities and Administrative (F&amp;A) rate. </w:t>
                      </w:r>
                    </w:p>
                    <w:p w:rsidR="00BC06E5" w:rsidRDefault="002B5E79" w:rsidP="00BC06E5">
                      <w:pPr>
                        <w:widowControl w:val="0"/>
                        <w:rPr>
                          <w:szCs w:val="28"/>
                        </w:rPr>
                      </w:pPr>
                      <w:r>
                        <w:rPr>
                          <w:szCs w:val="28"/>
                        </w:rPr>
                        <w:t xml:space="preserve">The default for the cost share entered into FIN/MyFD is the standard negotiated rate. </w:t>
                      </w:r>
                      <w:bookmarkStart w:id="1" w:name="_GoBack"/>
                      <w:r w:rsidR="00EF52A5" w:rsidRPr="00725CF0">
                        <w:rPr>
                          <w:szCs w:val="28"/>
                        </w:rPr>
                        <w:t>However, s</w:t>
                      </w:r>
                      <w:r w:rsidRPr="00725CF0">
                        <w:rPr>
                          <w:szCs w:val="28"/>
                        </w:rPr>
                        <w:t xml:space="preserve">ince </w:t>
                      </w:r>
                      <w:bookmarkEnd w:id="1"/>
                      <w:r>
                        <w:rPr>
                          <w:szCs w:val="28"/>
                        </w:rPr>
                        <w:t xml:space="preserve">some sponsors may require a specific rate be used for the cost share, it is important to use the </w:t>
                      </w:r>
                      <w:r w:rsidRPr="00EF52A5">
                        <w:rPr>
                          <w:b/>
                          <w:i/>
                          <w:color w:val="FF0000"/>
                          <w:szCs w:val="28"/>
                        </w:rPr>
                        <w:t>Cost Share F&amp;A</w:t>
                      </w:r>
                      <w:r>
                        <w:rPr>
                          <w:szCs w:val="28"/>
                        </w:rPr>
                        <w:t xml:space="preserve"> rate when calculating the amount of cost share committed. </w:t>
                      </w:r>
                    </w:p>
                    <w:p w:rsidR="002B5E79" w:rsidRDefault="002B5E79" w:rsidP="00BC06E5">
                      <w:pPr>
                        <w:widowControl w:val="0"/>
                        <w:rPr>
                          <w:szCs w:val="28"/>
                        </w:rPr>
                      </w:pPr>
                      <w:r>
                        <w:rPr>
                          <w:szCs w:val="28"/>
                        </w:rPr>
                        <w:t xml:space="preserve">This rate is displayed in the Budget Profile MyFD in the section “Indirect Cost.” The Cost Share I/C (indirect cost) Rate is the last entry in this section. </w:t>
                      </w:r>
                    </w:p>
                    <w:p w:rsidR="00356666" w:rsidRDefault="00725CF0" w:rsidP="00BC06E5">
                      <w:pPr>
                        <w:widowControl w:val="0"/>
                        <w:rPr>
                          <w:szCs w:val="28"/>
                        </w:rPr>
                      </w:pPr>
                      <w:hyperlink r:id="rId10" w:history="1">
                        <w:r w:rsidR="00356666" w:rsidRPr="00356666">
                          <w:rPr>
                            <w:rStyle w:val="Hyperlink"/>
                            <w:szCs w:val="28"/>
                          </w:rPr>
                          <w:t>https://ucs.admin.washington.edu/MyFD/UWNetID/budgetprofile.aspx#Indirect Cost</w:t>
                        </w:r>
                      </w:hyperlink>
                      <w:r w:rsidR="00356666">
                        <w:rPr>
                          <w:szCs w:val="28"/>
                        </w:rPr>
                        <w:t xml:space="preserve"> </w:t>
                      </w:r>
                    </w:p>
                  </w:txbxContent>
                </v:textbox>
              </v:shape>
            </w:pict>
          </mc:Fallback>
        </mc:AlternateContent>
      </w:r>
      <w:r w:rsidR="002B5E79" w:rsidRPr="0014381C">
        <w:rPr>
          <w:rFonts w:ascii="Copperplate Gothic Bold" w:hAnsi="Copperplate Gothic Bold"/>
          <w:i/>
          <w:noProof/>
        </w:rPr>
        <mc:AlternateContent>
          <mc:Choice Requires="wps">
            <w:drawing>
              <wp:anchor distT="0" distB="0" distL="114300" distR="114300" simplePos="0" relativeHeight="251670528" behindDoc="0" locked="0" layoutInCell="1" allowOverlap="1" wp14:anchorId="18DF7378" wp14:editId="4F5D8BA6">
                <wp:simplePos x="0" y="0"/>
                <wp:positionH relativeFrom="column">
                  <wp:posOffset>163195</wp:posOffset>
                </wp:positionH>
                <wp:positionV relativeFrom="paragraph">
                  <wp:posOffset>3538</wp:posOffset>
                </wp:positionV>
                <wp:extent cx="2853690" cy="2661285"/>
                <wp:effectExtent l="57150" t="57150" r="118110" b="1200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661285"/>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4381C" w:rsidRPr="005703B4" w:rsidRDefault="0014381C" w:rsidP="0014381C">
                            <w:pPr>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A34092">
                              <w:rPr>
                                <w:rFonts w:ascii="Verdana" w:hAnsi="Verdana"/>
                                <w:b/>
                                <w:sz w:val="28"/>
                              </w:rPr>
                              <w:t>March</w:t>
                            </w:r>
                            <w:r w:rsidR="00766F29">
                              <w:rPr>
                                <w:rFonts w:ascii="Verdana" w:hAnsi="Verdana"/>
                                <w:b/>
                                <w:sz w:val="28"/>
                              </w:rPr>
                              <w:t xml:space="preserve"> - </w:t>
                            </w:r>
                            <w:r w:rsidR="00A34092">
                              <w:rPr>
                                <w:rFonts w:ascii="Verdana" w:hAnsi="Verdana"/>
                                <w:b/>
                                <w:sz w:val="28"/>
                              </w:rPr>
                              <w:t>April</w:t>
                            </w:r>
                          </w:p>
                          <w:p w:rsidR="00A34092" w:rsidRDefault="0014381C" w:rsidP="00A34092">
                            <w:pPr>
                              <w:widowControl w:val="0"/>
                              <w:spacing w:after="0" w:line="240" w:lineRule="auto"/>
                              <w:ind w:left="360" w:hanging="360"/>
                              <w:rPr>
                                <w:sz w:val="20"/>
                              </w:rPr>
                            </w:pPr>
                            <w:r w:rsidRPr="0014381C">
                              <w:rPr>
                                <w:rFonts w:ascii="Symbol" w:hAnsi="Symbol"/>
                                <w:lang w:val="x-none"/>
                              </w:rPr>
                              <w:t></w:t>
                            </w:r>
                            <w:r w:rsidR="00766F29">
                              <w:t> </w:t>
                            </w:r>
                            <w:r w:rsidR="00A34092" w:rsidRPr="00A34092">
                              <w:rPr>
                                <w:sz w:val="20"/>
                              </w:rPr>
                              <w:t>Introduction to FEC</w:t>
                            </w:r>
                          </w:p>
                          <w:p w:rsidR="00A34092" w:rsidRPr="00A34092" w:rsidRDefault="00A34092" w:rsidP="00A34092">
                            <w:pPr>
                              <w:widowControl w:val="0"/>
                              <w:spacing w:after="0" w:line="240" w:lineRule="auto"/>
                              <w:ind w:left="360" w:hanging="360"/>
                              <w:rPr>
                                <w:sz w:val="20"/>
                              </w:rPr>
                            </w:pPr>
                            <w:r w:rsidRPr="0014381C">
                              <w:rPr>
                                <w:rFonts w:ascii="Symbol" w:hAnsi="Symbol"/>
                                <w:lang w:val="x-none"/>
                              </w:rPr>
                              <w:t></w:t>
                            </w:r>
                            <w:r>
                              <w:rPr>
                                <w:rFonts w:ascii="Symbol" w:hAnsi="Symbol"/>
                              </w:rPr>
                              <w:t></w:t>
                            </w:r>
                            <w:r>
                              <w:rPr>
                                <w:sz w:val="20"/>
                              </w:rPr>
                              <w:t>eFECS for FEC Coordinators</w:t>
                            </w:r>
                          </w:p>
                          <w:p w:rsidR="00A34092" w:rsidRPr="00A34092" w:rsidRDefault="00A34092" w:rsidP="00A34092">
                            <w:pPr>
                              <w:widowControl w:val="0"/>
                              <w:spacing w:after="0" w:line="240" w:lineRule="auto"/>
                              <w:ind w:left="360" w:hanging="360"/>
                              <w:rPr>
                                <w:sz w:val="20"/>
                              </w:rPr>
                            </w:pPr>
                            <w:r w:rsidRPr="0014381C">
                              <w:rPr>
                                <w:rFonts w:ascii="Symbol" w:hAnsi="Symbol"/>
                                <w:lang w:val="x-none"/>
                              </w:rPr>
                              <w:t></w:t>
                            </w:r>
                            <w:r>
                              <w:rPr>
                                <w:rFonts w:ascii="Symbol" w:hAnsi="Symbol"/>
                              </w:rPr>
                              <w:t></w:t>
                            </w:r>
                            <w:r w:rsidRPr="00A34092">
                              <w:rPr>
                                <w:sz w:val="20"/>
                              </w:rPr>
                              <w:t>Introduction to GCCR</w:t>
                            </w:r>
                          </w:p>
                          <w:p w:rsidR="0014381C" w:rsidRPr="00897AEE" w:rsidRDefault="0014381C" w:rsidP="00A34092">
                            <w:pPr>
                              <w:widowControl w:val="0"/>
                              <w:spacing w:after="0" w:line="240" w:lineRule="auto"/>
                              <w:ind w:left="360" w:hanging="360"/>
                              <w:rPr>
                                <w:sz w:val="20"/>
                              </w:rPr>
                            </w:pPr>
                            <w:r w:rsidRPr="00A34092">
                              <w:rPr>
                                <w:rFonts w:ascii="Symbol" w:hAnsi="Symbol"/>
                                <w:lang w:val="x-none"/>
                              </w:rPr>
                              <w:t></w:t>
                            </w:r>
                            <w:r w:rsidR="00A34092">
                              <w:rPr>
                                <w:rFonts w:ascii="Symbol" w:hAnsi="Symbol"/>
                              </w:rPr>
                              <w:t></w:t>
                            </w:r>
                            <w:r w:rsidR="00766F29" w:rsidRPr="00897AEE">
                              <w:rPr>
                                <w:sz w:val="20"/>
                              </w:rPr>
                              <w:t>Modifying an FEC, Comments and Cost Share</w:t>
                            </w:r>
                          </w:p>
                          <w:p w:rsidR="0014381C" w:rsidRPr="00897AEE" w:rsidRDefault="0014381C" w:rsidP="00A34092">
                            <w:pPr>
                              <w:widowControl w:val="0"/>
                              <w:spacing w:after="0" w:line="240" w:lineRule="auto"/>
                              <w:ind w:left="360" w:hanging="360"/>
                              <w:rPr>
                                <w:sz w:val="20"/>
                              </w:rPr>
                            </w:pPr>
                            <w:r w:rsidRPr="00A34092">
                              <w:rPr>
                                <w:rFonts w:ascii="Symbol" w:hAnsi="Symbol"/>
                                <w:lang w:val="x-none"/>
                              </w:rPr>
                              <w:t></w:t>
                            </w:r>
                            <w:r w:rsidR="00766F29" w:rsidRPr="00897AEE">
                              <w:rPr>
                                <w:sz w:val="20"/>
                              </w:rPr>
                              <w:t> Modifying</w:t>
                            </w:r>
                            <w:r w:rsidR="00A34092">
                              <w:rPr>
                                <w:sz w:val="20"/>
                              </w:rPr>
                              <w:t xml:space="preserve"> an FEC, Changes Outside eFECS and </w:t>
                            </w:r>
                            <w:r w:rsidR="00766F29" w:rsidRPr="00897AEE">
                              <w:rPr>
                                <w:sz w:val="20"/>
                              </w:rPr>
                              <w:t>Recertifications</w:t>
                            </w:r>
                          </w:p>
                          <w:p w:rsidR="005703B4" w:rsidRPr="00897AEE" w:rsidRDefault="005703B4" w:rsidP="0014381C">
                            <w:pPr>
                              <w:widowControl w:val="0"/>
                              <w:spacing w:after="0"/>
                              <w:ind w:left="360" w:hanging="360"/>
                              <w:rPr>
                                <w:sz w:val="10"/>
                              </w:rPr>
                            </w:pPr>
                          </w:p>
                          <w:p w:rsidR="00897AEE" w:rsidRPr="00897AEE" w:rsidRDefault="00897AEE" w:rsidP="00A34092">
                            <w:pPr>
                              <w:pStyle w:val="msobodytext4"/>
                              <w:widowControl w:val="0"/>
                              <w:spacing w:line="240" w:lineRule="auto"/>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A34092">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11" w:history="1">
                              <w:r w:rsidR="005703B4" w:rsidRPr="00A34092">
                                <w:rPr>
                                  <w:rStyle w:val="Hyperlink"/>
                                  <w:sz w:val="16"/>
                                  <w:szCs w:val="22"/>
                                  <w14:ligatures w14:val="none"/>
                                </w:rPr>
                                <w:t>http://www.washington.edu/research/index.php?page=ospLearning</w:t>
                              </w:r>
                            </w:hyperlink>
                            <w:r w:rsidR="005703B4" w:rsidRPr="00A34092">
                              <w:rPr>
                                <w:sz w:val="16"/>
                                <w:szCs w:val="22"/>
                                <w14:ligatures w14:val="none"/>
                              </w:rPr>
                              <w:t xml:space="preserve"> </w:t>
                            </w:r>
                          </w:p>
                          <w:p w:rsidR="0014381C" w:rsidRDefault="0014381C" w:rsidP="0014381C">
                            <w:pPr>
                              <w:widowControl w:val="0"/>
                              <w:rPr>
                                <w:sz w:val="21"/>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85pt;margin-top:.3pt;width:224.7pt;height:20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" strokecolor="#f5c159" strokeweight="2.25pt">
                <v:shadow on="t" color="black" opacity="26214f" origin="-.5,-.5" offset=".74836mm,.74836mm"/>
                <v:textbox>
                  <w:txbxContent>
                    <w:p w:rsidR="0014381C" w:rsidRPr="005703B4" w:rsidRDefault="0014381C" w:rsidP="0014381C">
                      <w:pPr>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A34092">
                        <w:rPr>
                          <w:rFonts w:ascii="Verdana" w:hAnsi="Verdana"/>
                          <w:b/>
                          <w:sz w:val="28"/>
                        </w:rPr>
                        <w:t>March</w:t>
                      </w:r>
                      <w:r w:rsidR="00766F29">
                        <w:rPr>
                          <w:rFonts w:ascii="Verdana" w:hAnsi="Verdana"/>
                          <w:b/>
                          <w:sz w:val="28"/>
                        </w:rPr>
                        <w:t xml:space="preserve"> - </w:t>
                      </w:r>
                      <w:r w:rsidR="00A34092">
                        <w:rPr>
                          <w:rFonts w:ascii="Verdana" w:hAnsi="Verdana"/>
                          <w:b/>
                          <w:sz w:val="28"/>
                        </w:rPr>
                        <w:t>April</w:t>
                      </w:r>
                    </w:p>
                    <w:p w:rsidR="00A34092" w:rsidRDefault="0014381C" w:rsidP="00A34092">
                      <w:pPr>
                        <w:widowControl w:val="0"/>
                        <w:spacing w:after="0" w:line="240" w:lineRule="auto"/>
                        <w:ind w:left="360" w:hanging="360"/>
                        <w:rPr>
                          <w:sz w:val="20"/>
                        </w:rPr>
                      </w:pPr>
                      <w:r w:rsidRPr="0014381C">
                        <w:rPr>
                          <w:rFonts w:ascii="Symbol" w:hAnsi="Symbol"/>
                          <w:lang w:val="x-none"/>
                        </w:rPr>
                        <w:t></w:t>
                      </w:r>
                      <w:r w:rsidR="00766F29">
                        <w:t> </w:t>
                      </w:r>
                      <w:r w:rsidR="00A34092" w:rsidRPr="00A34092">
                        <w:rPr>
                          <w:sz w:val="20"/>
                        </w:rPr>
                        <w:t>Introduction to FEC</w:t>
                      </w:r>
                    </w:p>
                    <w:p w:rsidR="00A34092" w:rsidRPr="00A34092" w:rsidRDefault="00A34092" w:rsidP="00A34092">
                      <w:pPr>
                        <w:widowControl w:val="0"/>
                        <w:spacing w:after="0" w:line="240" w:lineRule="auto"/>
                        <w:ind w:left="360" w:hanging="360"/>
                        <w:rPr>
                          <w:sz w:val="20"/>
                        </w:rPr>
                      </w:pPr>
                      <w:r w:rsidRPr="0014381C">
                        <w:rPr>
                          <w:rFonts w:ascii="Symbol" w:hAnsi="Symbol"/>
                          <w:lang w:val="x-none"/>
                        </w:rPr>
                        <w:t></w:t>
                      </w:r>
                      <w:r>
                        <w:rPr>
                          <w:rFonts w:ascii="Symbol" w:hAnsi="Symbol"/>
                        </w:rPr>
                        <w:t></w:t>
                      </w:r>
                      <w:r>
                        <w:rPr>
                          <w:sz w:val="20"/>
                        </w:rPr>
                        <w:t>eFECS for FEC Coordinators</w:t>
                      </w:r>
                    </w:p>
                    <w:p w:rsidR="00A34092" w:rsidRPr="00A34092" w:rsidRDefault="00A34092" w:rsidP="00A34092">
                      <w:pPr>
                        <w:widowControl w:val="0"/>
                        <w:spacing w:after="0" w:line="240" w:lineRule="auto"/>
                        <w:ind w:left="360" w:hanging="360"/>
                        <w:rPr>
                          <w:sz w:val="20"/>
                        </w:rPr>
                      </w:pPr>
                      <w:r w:rsidRPr="0014381C">
                        <w:rPr>
                          <w:rFonts w:ascii="Symbol" w:hAnsi="Symbol"/>
                          <w:lang w:val="x-none"/>
                        </w:rPr>
                        <w:t></w:t>
                      </w:r>
                      <w:r>
                        <w:rPr>
                          <w:rFonts w:ascii="Symbol" w:hAnsi="Symbol"/>
                        </w:rPr>
                        <w:t></w:t>
                      </w:r>
                      <w:r w:rsidRPr="00A34092">
                        <w:rPr>
                          <w:sz w:val="20"/>
                        </w:rPr>
                        <w:t>Introduction to GCCR</w:t>
                      </w:r>
                    </w:p>
                    <w:p w:rsidR="0014381C" w:rsidRPr="00897AEE" w:rsidRDefault="0014381C" w:rsidP="00A34092">
                      <w:pPr>
                        <w:widowControl w:val="0"/>
                        <w:spacing w:after="0" w:line="240" w:lineRule="auto"/>
                        <w:ind w:left="360" w:hanging="360"/>
                        <w:rPr>
                          <w:sz w:val="20"/>
                        </w:rPr>
                      </w:pPr>
                      <w:r w:rsidRPr="00A34092">
                        <w:rPr>
                          <w:rFonts w:ascii="Symbol" w:hAnsi="Symbol"/>
                          <w:lang w:val="x-none"/>
                        </w:rPr>
                        <w:t></w:t>
                      </w:r>
                      <w:r w:rsidR="00A34092">
                        <w:rPr>
                          <w:rFonts w:ascii="Symbol" w:hAnsi="Symbol"/>
                        </w:rPr>
                        <w:t></w:t>
                      </w:r>
                      <w:r w:rsidR="00766F29" w:rsidRPr="00897AEE">
                        <w:rPr>
                          <w:sz w:val="20"/>
                        </w:rPr>
                        <w:t>Modifying an FEC, Comments and Cost Share</w:t>
                      </w:r>
                    </w:p>
                    <w:p w:rsidR="0014381C" w:rsidRPr="00897AEE" w:rsidRDefault="0014381C" w:rsidP="00A34092">
                      <w:pPr>
                        <w:widowControl w:val="0"/>
                        <w:spacing w:after="0" w:line="240" w:lineRule="auto"/>
                        <w:ind w:left="360" w:hanging="360"/>
                        <w:rPr>
                          <w:sz w:val="20"/>
                        </w:rPr>
                      </w:pPr>
                      <w:r w:rsidRPr="00A34092">
                        <w:rPr>
                          <w:rFonts w:ascii="Symbol" w:hAnsi="Symbol"/>
                          <w:lang w:val="x-none"/>
                        </w:rPr>
                        <w:t></w:t>
                      </w:r>
                      <w:r w:rsidR="00766F29" w:rsidRPr="00897AEE">
                        <w:rPr>
                          <w:sz w:val="20"/>
                        </w:rPr>
                        <w:t> Modifying</w:t>
                      </w:r>
                      <w:r w:rsidR="00A34092">
                        <w:rPr>
                          <w:sz w:val="20"/>
                        </w:rPr>
                        <w:t xml:space="preserve"> an FEC, Changes Outside eFECS and </w:t>
                      </w:r>
                      <w:r w:rsidR="00766F29" w:rsidRPr="00897AEE">
                        <w:rPr>
                          <w:sz w:val="20"/>
                        </w:rPr>
                        <w:t>Recertifications</w:t>
                      </w:r>
                    </w:p>
                    <w:p w:rsidR="005703B4" w:rsidRPr="00897AEE" w:rsidRDefault="005703B4" w:rsidP="0014381C">
                      <w:pPr>
                        <w:widowControl w:val="0"/>
                        <w:spacing w:after="0"/>
                        <w:ind w:left="360" w:hanging="360"/>
                        <w:rPr>
                          <w:sz w:val="10"/>
                        </w:rPr>
                      </w:pPr>
                    </w:p>
                    <w:p w:rsidR="00897AEE" w:rsidRPr="00897AEE" w:rsidRDefault="00897AEE" w:rsidP="00A34092">
                      <w:pPr>
                        <w:pStyle w:val="msobodytext4"/>
                        <w:widowControl w:val="0"/>
                        <w:spacing w:line="240" w:lineRule="auto"/>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A34092">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12" w:history="1">
                        <w:r w:rsidR="005703B4" w:rsidRPr="00A34092">
                          <w:rPr>
                            <w:rStyle w:val="Hyperlink"/>
                            <w:sz w:val="16"/>
                            <w:szCs w:val="22"/>
                            <w14:ligatures w14:val="none"/>
                          </w:rPr>
                          <w:t>http://www.washington.edu/research/index.php?page=ospLearning</w:t>
                        </w:r>
                      </w:hyperlink>
                      <w:r w:rsidR="005703B4" w:rsidRPr="00A34092">
                        <w:rPr>
                          <w:sz w:val="16"/>
                          <w:szCs w:val="22"/>
                          <w14:ligatures w14:val="none"/>
                        </w:rPr>
                        <w:t xml:space="preserve"> </w:t>
                      </w:r>
                    </w:p>
                    <w:p w:rsidR="0014381C" w:rsidRDefault="0014381C" w:rsidP="0014381C">
                      <w:pPr>
                        <w:widowControl w:val="0"/>
                        <w:rPr>
                          <w:sz w:val="21"/>
                        </w:rPr>
                      </w:pPr>
                      <w:r>
                        <w:t> </w:t>
                      </w:r>
                    </w:p>
                    <w:p w:rsidR="0014381C" w:rsidRDefault="0014381C"/>
                  </w:txbxContent>
                </v:textbox>
              </v:shape>
            </w:pict>
          </mc:Fallback>
        </mc:AlternateContent>
      </w:r>
      <w:r w:rsidR="007F5775" w:rsidRPr="00FD7735">
        <w:rPr>
          <w:rFonts w:ascii="Copperplate Gothic Bold" w:hAnsi="Copperplate Gothic Bold"/>
          <w:i/>
          <w:noProof/>
        </w:rPr>
        <mc:AlternateContent>
          <mc:Choice Requires="wps">
            <w:drawing>
              <wp:anchor distT="0" distB="0" distL="114300" distR="114300" simplePos="0" relativeHeight="251666432" behindDoc="0" locked="0" layoutInCell="1" allowOverlap="1" wp14:anchorId="52A0CFCF" wp14:editId="7E510F1D">
                <wp:simplePos x="0" y="0"/>
                <wp:positionH relativeFrom="column">
                  <wp:posOffset>3218543</wp:posOffset>
                </wp:positionH>
                <wp:positionV relativeFrom="paragraph">
                  <wp:posOffset>171994</wp:posOffset>
                </wp:positionV>
                <wp:extent cx="3178628" cy="1254942"/>
                <wp:effectExtent l="0" t="0" r="317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628" cy="1254942"/>
                        </a:xfrm>
                        <a:prstGeom prst="rect">
                          <a:avLst/>
                        </a:prstGeom>
                        <a:solidFill>
                          <a:srgbClr val="FFFFFF"/>
                        </a:solidFill>
                        <a:ln w="9525">
                          <a:noFill/>
                          <a:miter lim="800000"/>
                          <a:headEnd/>
                          <a:tailEnd/>
                        </a:ln>
                      </wps:spPr>
                      <wps:txbx>
                        <w:txbxContent>
                          <w:p w:rsidR="00FD7735" w:rsidRDefault="00FD7735" w:rsidP="00FD7735">
                            <w:pPr>
                              <w:widowControl w:val="0"/>
                              <w:rPr>
                                <w:sz w:val="21"/>
                                <w:szCs w:val="20"/>
                              </w:rPr>
                            </w:pPr>
                          </w:p>
                          <w:p w:rsidR="00FD7735" w:rsidRDefault="00FD7735" w:rsidP="00FD7735">
                            <w:pPr>
                              <w:widowControl w:val="0"/>
                            </w:pPr>
                          </w:p>
                          <w:p w:rsidR="00FD7735" w:rsidRDefault="00FD7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3.45pt;margin-top:13.55pt;width:250.3pt;height:9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" stroked="f">
                <v:textbox>
                  <w:txbxContent>
                    <w:p w:rsidR="00FD7735" w:rsidRDefault="00FD7735" w:rsidP="00FD7735">
                      <w:pPr>
                        <w:widowControl w:val="0"/>
                        <w:rPr>
                          <w:sz w:val="21"/>
                          <w:szCs w:val="20"/>
                        </w:rPr>
                      </w:pPr>
                    </w:p>
                    <w:p w:rsidR="00FD7735" w:rsidRDefault="00FD7735" w:rsidP="00FD7735">
                      <w:pPr>
                        <w:widowControl w:val="0"/>
                      </w:pPr>
                    </w:p>
                    <w:p w:rsidR="00FD7735" w:rsidRDefault="00FD7735"/>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552A67" w:rsidP="00F30325">
      <w:pPr>
        <w:rPr>
          <w:noProof/>
        </w:rPr>
      </w:pPr>
      <w:r w:rsidRPr="00F30325">
        <w:rPr>
          <w:rFonts w:ascii="Copperplate Gothic Bold" w:hAnsi="Copperplate Gothic Bold"/>
          <w:noProof/>
        </w:rPr>
        <mc:AlternateContent>
          <mc:Choice Requires="wps">
            <w:drawing>
              <wp:anchor distT="0" distB="0" distL="114300" distR="114300" simplePos="0" relativeHeight="251676672" behindDoc="0" locked="0" layoutInCell="1" allowOverlap="1" wp14:anchorId="6BCAE8CC" wp14:editId="6251DC68">
                <wp:simplePos x="0" y="0"/>
                <wp:positionH relativeFrom="column">
                  <wp:posOffset>978807</wp:posOffset>
                </wp:positionH>
                <wp:positionV relativeFrom="paragraph">
                  <wp:posOffset>144780</wp:posOffset>
                </wp:positionV>
                <wp:extent cx="2220595" cy="1516380"/>
                <wp:effectExtent l="0" t="0" r="8255"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516380"/>
                        </a:xfrm>
                        <a:prstGeom prst="rect">
                          <a:avLst/>
                        </a:prstGeom>
                        <a:solidFill>
                          <a:srgbClr val="FFFFFF"/>
                        </a:solidFill>
                        <a:ln w="9525">
                          <a:noFill/>
                          <a:miter lim="800000"/>
                          <a:headEnd/>
                          <a:tailEnd/>
                        </a:ln>
                      </wps:spPr>
                      <wps:txbx>
                        <w:txbxContent>
                          <w:p w:rsidR="00F30325" w:rsidRDefault="00BC06E5">
                            <w:r>
                              <w:t xml:space="preserve">Is </w:t>
                            </w:r>
                            <w:r w:rsidR="00552A67">
                              <w:t xml:space="preserve">a </w:t>
                            </w:r>
                            <w:r>
                              <w:t>budget appearing in the wrong PUC on the GCCR? Contact Payroll to have the PUC changed in FIN. The correct PUC for the budget will appear on the GCCR the following day.</w:t>
                            </w:r>
                            <w:r w:rsidR="00552A67">
                              <w:t xml:space="preserve"> Be sure both departments   are notified of the change.   </w:t>
                            </w:r>
                            <w:proofErr w:type="gramStart"/>
                            <w:r w:rsidR="00552A67">
                              <w:t>department</w:t>
                            </w:r>
                            <w:proofErr w:type="gramEnd"/>
                            <w:r w:rsidR="00552A6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7.05pt;margin-top:11.4pt;width:174.85pt;height:11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" stroked="f">
                <v:textbox>
                  <w:txbxContent>
                    <w:p w:rsidR="00F30325" w:rsidRDefault="00BC06E5">
                      <w:r>
                        <w:t xml:space="preserve">Is </w:t>
                      </w:r>
                      <w:r w:rsidR="00552A67">
                        <w:t xml:space="preserve">a </w:t>
                      </w:r>
                      <w:r>
                        <w:t>budget appearing in the wrong PUC on the GCCR? Contact Payroll to have the PUC changed in FIN. The correct PUC for the budget will appear on the GCCR the following day.</w:t>
                      </w:r>
                      <w:r w:rsidR="00552A67">
                        <w:t xml:space="preserve"> Be sure both departments   are notified of the change.   </w:t>
                      </w:r>
                      <w:proofErr w:type="gramStart"/>
                      <w:r w:rsidR="00552A67">
                        <w:t>department</w:t>
                      </w:r>
                      <w:proofErr w:type="gramEnd"/>
                      <w:r w:rsidR="00552A67">
                        <w:t xml:space="preserve">.  </w:t>
                      </w:r>
                    </w:p>
                  </w:txbxContent>
                </v:textbox>
              </v:shape>
            </w:pict>
          </mc:Fallback>
        </mc:AlternateContent>
      </w:r>
      <w:r w:rsidRPr="00F30325">
        <w:rPr>
          <w:rFonts w:ascii="Copperplate Gothic Bold" w:hAnsi="Copperplate Gothic Bold"/>
          <w:noProof/>
        </w:rPr>
        <mc:AlternateContent>
          <mc:Choice Requires="wps">
            <w:drawing>
              <wp:anchor distT="0" distB="0" distL="114300" distR="114300" simplePos="0" relativeHeight="251674624" behindDoc="0" locked="0" layoutInCell="1" allowOverlap="1" wp14:anchorId="66088113" wp14:editId="6F4CAE62">
                <wp:simplePos x="0" y="0"/>
                <wp:positionH relativeFrom="column">
                  <wp:posOffset>-10886</wp:posOffset>
                </wp:positionH>
                <wp:positionV relativeFrom="paragraph">
                  <wp:posOffset>221161</wp:posOffset>
                </wp:positionV>
                <wp:extent cx="1080135" cy="1307828"/>
                <wp:effectExtent l="0" t="0" r="5715"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07828"/>
                        </a:xfrm>
                        <a:prstGeom prst="rect">
                          <a:avLst/>
                        </a:prstGeom>
                        <a:solidFill>
                          <a:srgbClr val="FFFFFF"/>
                        </a:solidFill>
                        <a:ln w="9525">
                          <a:noFill/>
                          <a:miter lim="800000"/>
                          <a:headEnd/>
                          <a:tailEnd/>
                        </a:ln>
                      </wps:spPr>
                      <wps:txbx>
                        <w:txbxContent>
                          <w:p w:rsidR="00F30325" w:rsidRDefault="00F30325">
                            <w:r>
                              <w:t xml:space="preserve"> </w:t>
                            </w:r>
                            <w:r w:rsidR="00552A67" w:rsidRPr="00F30325">
                              <w:rPr>
                                <w:noProof/>
                              </w:rPr>
                              <w:drawing>
                                <wp:inline distT="0" distB="0" distL="0" distR="0" wp14:anchorId="45F20AB0" wp14:editId="7190ECA2">
                                  <wp:extent cx="888365" cy="879250"/>
                                  <wp:effectExtent l="0" t="0" r="6985" b="0"/>
                                  <wp:docPr id="11"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8365" cy="879250"/>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5pt;margin-top:17.4pt;width:85.05pt;height:1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" stroked="f">
                <v:textbox>
                  <w:txbxContent>
                    <w:p w:rsidR="00F30325" w:rsidRDefault="00F30325">
                      <w:r>
                        <w:t xml:space="preserve"> </w:t>
                      </w:r>
                      <w:r w:rsidR="00552A67" w:rsidRPr="00F30325">
                        <w:rPr>
                          <w:noProof/>
                        </w:rPr>
                        <w:drawing>
                          <wp:inline distT="0" distB="0" distL="0" distR="0" wp14:anchorId="45F20AB0" wp14:editId="7190ECA2">
                            <wp:extent cx="888365" cy="879250"/>
                            <wp:effectExtent l="0" t="0" r="6985" b="0"/>
                            <wp:docPr id="11"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8365" cy="879250"/>
                                    </a:xfrm>
                                    <a:prstGeom prst="rect">
                                      <a:avLst/>
                                    </a:prstGeom>
                                    <a:noFill/>
                                    <a:extLst/>
                                  </pic:spPr>
                                </pic:pic>
                              </a:graphicData>
                            </a:graphic>
                          </wp:inline>
                        </w:drawing>
                      </w:r>
                    </w:p>
                  </w:txbxContent>
                </v:textbox>
              </v:shape>
            </w:pict>
          </mc:Fallback>
        </mc:AlternateContent>
      </w:r>
      <w:r>
        <w:rPr>
          <w:rFonts w:ascii="Copperplate Gothic Bold" w:hAnsi="Copperplate Gothic Bold"/>
          <w:noProof/>
        </w:rPr>
        <mc:AlternateContent>
          <mc:Choice Requires="wps">
            <w:drawing>
              <wp:anchor distT="0" distB="0" distL="114300" distR="114300" simplePos="0" relativeHeight="251678720" behindDoc="0" locked="0" layoutInCell="1" allowOverlap="1" wp14:anchorId="7342FC56" wp14:editId="6BD761BB">
                <wp:simplePos x="0" y="0"/>
                <wp:positionH relativeFrom="column">
                  <wp:posOffset>-17780</wp:posOffset>
                </wp:positionH>
                <wp:positionV relativeFrom="paragraph">
                  <wp:posOffset>85997</wp:posOffset>
                </wp:positionV>
                <wp:extent cx="3236595" cy="1647190"/>
                <wp:effectExtent l="0" t="0" r="20955" b="10160"/>
                <wp:wrapNone/>
                <wp:docPr id="2" name="Teardrop 2"/>
                <wp:cNvGraphicFramePr/>
                <a:graphic xmlns:a="http://schemas.openxmlformats.org/drawingml/2006/main">
                  <a:graphicData uri="http://schemas.microsoft.com/office/word/2010/wordprocessingShape">
                    <wps:wsp>
                      <wps:cNvSpPr/>
                      <wps:spPr>
                        <a:xfrm>
                          <a:off x="0" y="0"/>
                          <a:ext cx="3236595" cy="1647190"/>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 o:spid="_x0000_s1026" style="position:absolute;margin-left:-1.4pt;margin-top:6.75pt;width:254.85pt;height:12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6595,164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" path="m,823595c,368736,724537,,1618298,l3236595,r,823595c3236595,1278454,2512058,1647190,1618297,1647190,724536,1647190,-1,1278454,-1,823595r1,xe" filled="f" strokecolor="#943634 [2405]" strokeweight="2pt">
                <v:path arrowok="t" o:connecttype="custom" o:connectlocs="0,823595;1618298,0;3236595,0;3236595,823595;1618297,1647190;-1,823595;0,823595" o:connectangles="0,0,0,0,0,0,0"/>
              </v:shape>
            </w:pict>
          </mc:Fallback>
        </mc:AlternateContent>
      </w:r>
    </w:p>
    <w:p w:rsidR="007F5775" w:rsidRDefault="006E51C2" w:rsidP="00F30325">
      <w:pPr>
        <w:rPr>
          <w:noProof/>
        </w:rPr>
      </w:pPr>
      <w:r w:rsidRPr="0014381C">
        <w:rPr>
          <w:rFonts w:ascii="Copperplate Gothic Bold" w:hAnsi="Copperplate Gothic Bold"/>
          <w:i/>
          <w:noProof/>
        </w:rPr>
        <mc:AlternateContent>
          <mc:Choice Requires="wps">
            <w:drawing>
              <wp:anchor distT="0" distB="0" distL="114300" distR="114300" simplePos="0" relativeHeight="251668480" behindDoc="0" locked="0" layoutInCell="1" allowOverlap="1" wp14:anchorId="2A282DB4" wp14:editId="626E2CC1">
                <wp:simplePos x="0" y="0"/>
                <wp:positionH relativeFrom="column">
                  <wp:posOffset>3661410</wp:posOffset>
                </wp:positionH>
                <wp:positionV relativeFrom="paragraph">
                  <wp:posOffset>1058908</wp:posOffset>
                </wp:positionV>
                <wp:extent cx="2567940" cy="715010"/>
                <wp:effectExtent l="0" t="0" r="2286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715010"/>
                        </a:xfrm>
                        <a:prstGeom prst="rect">
                          <a:avLst/>
                        </a:prstGeom>
                        <a:ln>
                          <a:solidFill>
                            <a:srgbClr val="F5C159"/>
                          </a:solidFill>
                          <a:headEnd/>
                          <a:tailEnd/>
                        </a:ln>
                      </wps:spPr>
                      <wps:style>
                        <a:lnRef idx="2">
                          <a:schemeClr val="accent6"/>
                        </a:lnRef>
                        <a:fillRef idx="1">
                          <a:schemeClr val="lt1"/>
                        </a:fillRef>
                        <a:effectRef idx="0">
                          <a:schemeClr val="accent6"/>
                        </a:effectRef>
                        <a:fontRef idx="minor">
                          <a:schemeClr val="dk1"/>
                        </a:fontRef>
                      </wps:style>
                      <wps:txbx>
                        <w:txbxContent>
                          <w:p w:rsidR="0014381C" w:rsidRPr="0014381C" w:rsidRDefault="0014381C" w:rsidP="0014381C">
                            <w:pPr>
                              <w:pStyle w:val="msoorganizationname2"/>
                              <w:widowControl w:val="0"/>
                              <w:jc w:val="center"/>
                              <w:rPr>
                                <w:rFonts w:ascii="Verdana" w:hAnsi="Verdana"/>
                                <w:i/>
                                <w14:ligatures w14:val="none"/>
                              </w:rPr>
                            </w:pPr>
                            <w:r w:rsidRPr="0014381C">
                              <w:rPr>
                                <w:rFonts w:ascii="Verdana" w:hAnsi="Verdana"/>
                                <w:i/>
                                <w14:ligatures w14:val="none"/>
                              </w:rPr>
                              <w:t>Do you have questions or want someone to call you?                    Email efecs@u.washington.edu</w:t>
                            </w:r>
                          </w:p>
                          <w:p w:rsidR="0014381C" w:rsidRDefault="0014381C" w:rsidP="0014381C">
                            <w:pPr>
                              <w:widowControl w:val="0"/>
                              <w:rPr>
                                <w:rFonts w:ascii="Verdana" w:hAnsi="Verdana"/>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8.3pt;margin-top:83.4pt;width:202.2pt;height:5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" fillcolor="white [3201]" strokecolor="#f5c159" strokeweight="2pt">
                <v:textbox>
                  <w:txbxContent>
                    <w:p w:rsidR="0014381C" w:rsidRPr="0014381C" w:rsidRDefault="0014381C" w:rsidP="0014381C">
                      <w:pPr>
                        <w:pStyle w:val="msoorganizationname2"/>
                        <w:widowControl w:val="0"/>
                        <w:jc w:val="center"/>
                        <w:rPr>
                          <w:rFonts w:ascii="Verdana" w:hAnsi="Verdana"/>
                          <w:i/>
                          <w14:ligatures w14:val="none"/>
                        </w:rPr>
                      </w:pPr>
                      <w:r w:rsidRPr="0014381C">
                        <w:rPr>
                          <w:rFonts w:ascii="Verdana" w:hAnsi="Verdana"/>
                          <w:i/>
                          <w14:ligatures w14:val="none"/>
                        </w:rPr>
                        <w:t>Do you have questions or want someone to call you?                    Email efecs@u.washington.edu</w:t>
                      </w:r>
                    </w:p>
                    <w:p w:rsidR="0014381C" w:rsidRDefault="0014381C" w:rsidP="0014381C">
                      <w:pPr>
                        <w:widowControl w:val="0"/>
                        <w:rPr>
                          <w:rFonts w:ascii="Verdana" w:hAnsi="Verdana"/>
                        </w:rPr>
                      </w:pPr>
                      <w:r>
                        <w:t> </w:t>
                      </w:r>
                    </w:p>
                    <w:p w:rsidR="0014381C" w:rsidRDefault="0014381C"/>
                  </w:txbxContent>
                </v:textbox>
              </v:shape>
            </w:pict>
          </mc:Fallback>
        </mc:AlternateContent>
      </w:r>
    </w:p>
    <w:p w:rsidR="0001733A" w:rsidRPr="00F30325" w:rsidRDefault="0001733A" w:rsidP="006E51C2">
      <w:pPr>
        <w:rPr>
          <w:rFonts w:ascii="Copperplate Gothic Bold" w:hAnsi="Copperplate Gothic Bold"/>
        </w:rPr>
      </w:pPr>
    </w:p>
    <w:sectPr w:rsidR="0001733A" w:rsidRPr="00F30325" w:rsidSect="0001733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A"/>
    <w:rsid w:val="0001733A"/>
    <w:rsid w:val="0014381C"/>
    <w:rsid w:val="00286054"/>
    <w:rsid w:val="002B5E79"/>
    <w:rsid w:val="002B7D28"/>
    <w:rsid w:val="00305128"/>
    <w:rsid w:val="00356666"/>
    <w:rsid w:val="00490307"/>
    <w:rsid w:val="004E0890"/>
    <w:rsid w:val="004E7D6C"/>
    <w:rsid w:val="00552A67"/>
    <w:rsid w:val="005703B4"/>
    <w:rsid w:val="006D6942"/>
    <w:rsid w:val="006E51C2"/>
    <w:rsid w:val="0070251E"/>
    <w:rsid w:val="00725CF0"/>
    <w:rsid w:val="00766F29"/>
    <w:rsid w:val="007F5775"/>
    <w:rsid w:val="00897AEE"/>
    <w:rsid w:val="00983910"/>
    <w:rsid w:val="009A4CCC"/>
    <w:rsid w:val="00A34092"/>
    <w:rsid w:val="00A36B72"/>
    <w:rsid w:val="00A7010F"/>
    <w:rsid w:val="00BC06E5"/>
    <w:rsid w:val="00D93317"/>
    <w:rsid w:val="00E309A6"/>
    <w:rsid w:val="00E46E57"/>
    <w:rsid w:val="00E53FA4"/>
    <w:rsid w:val="00EE7826"/>
    <w:rsid w:val="00EF52A5"/>
    <w:rsid w:val="00F30325"/>
    <w:rsid w:val="00FB3CA4"/>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 w:type="paragraph" w:styleId="NormalWeb">
    <w:name w:val="Normal (Web)"/>
    <w:basedOn w:val="Normal"/>
    <w:uiPriority w:val="99"/>
    <w:unhideWhenUsed/>
    <w:rsid w:val="00305128"/>
    <w:pPr>
      <w:spacing w:after="135" w:line="270" w:lineRule="atLeast"/>
    </w:pPr>
    <w:rPr>
      <w:rFonts w:ascii="Helvetica" w:eastAsia="Times New Roman" w:hAnsi="Helvetica" w:cs="Helvetic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 w:type="paragraph" w:styleId="NormalWeb">
    <w:name w:val="Normal (Web)"/>
    <w:basedOn w:val="Normal"/>
    <w:uiPriority w:val="99"/>
    <w:unhideWhenUsed/>
    <w:rsid w:val="00305128"/>
    <w:pPr>
      <w:spacing w:after="135" w:line="270" w:lineRule="atLeast"/>
    </w:pPr>
    <w:rPr>
      <w:rFonts w:ascii="Helvetica" w:eastAsia="Times New Roman" w:hAnsi="Helvetica" w:cs="Helvetic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86557">
      <w:bodyDiv w:val="1"/>
      <w:marLeft w:val="0"/>
      <w:marRight w:val="0"/>
      <w:marTop w:val="0"/>
      <w:marBottom w:val="0"/>
      <w:divBdr>
        <w:top w:val="none" w:sz="0" w:space="0" w:color="auto"/>
        <w:left w:val="none" w:sz="0" w:space="0" w:color="auto"/>
        <w:bottom w:val="none" w:sz="0" w:space="0" w:color="auto"/>
        <w:right w:val="none" w:sz="0" w:space="0" w:color="auto"/>
      </w:divBdr>
    </w:div>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2.washington.edu/fm/gca/node/763"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http://f2.washington.edu/fm/gca/node/763" TargetMode="External"/><Relationship Id="rId12" Type="http://schemas.openxmlformats.org/officeDocument/2006/relationships/hyperlink" Target="http://www.washington.edu/research/index.php?page=ospLear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washington.edu/research/index.php?page=ospLear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cs.admin.washington.edu/MyFD/UWNetID/budgetprofile.aspx%23Indirect%20Cost%20" TargetMode="External"/><Relationship Id="rId4" Type="http://schemas.openxmlformats.org/officeDocument/2006/relationships/settings" Target="settings.xml"/><Relationship Id="rId9" Type="http://schemas.openxmlformats.org/officeDocument/2006/relationships/hyperlink" Target="https://ucs.admin.washington.edu/MyFD/UWNetID/budgetprofile.aspx%23Indirect%20Cost%20" TargetMode="External"/><Relationship Id="rId1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Suzette Ashby-Larrabee</cp:lastModifiedBy>
  <cp:revision>2</cp:revision>
  <dcterms:created xsi:type="dcterms:W3CDTF">2014-02-19T16:50:00Z</dcterms:created>
  <dcterms:modified xsi:type="dcterms:W3CDTF">2014-02-19T16:50:00Z</dcterms:modified>
</cp:coreProperties>
</file>