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1E" w:rsidRPr="0001733A" w:rsidRDefault="00405B1C" w:rsidP="0001733A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spacing w:after="0"/>
        <w:rPr>
          <w:rFonts w:ascii="Copperplate Gothic Bold" w:hAnsi="Copperplate Gothic Bold"/>
          <w:i/>
          <w:sz w:val="40"/>
        </w:rPr>
      </w:pPr>
      <w:r w:rsidRPr="001E2A8A">
        <w:rPr>
          <w:rFonts w:ascii="Copperplate Gothic Bold" w:hAnsi="Copperplate Gothic Bold"/>
          <w:b/>
          <w:i/>
          <w:noProof/>
          <w:sz w:val="36"/>
          <w:szCs w:val="32"/>
          <w:bdr w:val="single" w:sz="12" w:space="0" w:color="C0504D" w:themeColor="accent2"/>
        </w:rPr>
        <w:drawing>
          <wp:anchor distT="0" distB="0" distL="114300" distR="114300" simplePos="0" relativeHeight="251664384" behindDoc="0" locked="0" layoutInCell="1" allowOverlap="1" wp14:anchorId="60BAD3F2" wp14:editId="7A61CCD8">
            <wp:simplePos x="0" y="0"/>
            <wp:positionH relativeFrom="column">
              <wp:posOffset>5095240</wp:posOffset>
            </wp:positionH>
            <wp:positionV relativeFrom="paragraph">
              <wp:posOffset>-222250</wp:posOffset>
            </wp:positionV>
            <wp:extent cx="1321435" cy="1677670"/>
            <wp:effectExtent l="0" t="0" r="0" b="0"/>
            <wp:wrapSquare wrapText="bothSides"/>
            <wp:docPr id="4" name="Picture 4" descr="MCED0012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ED00120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33A" w:rsidRPr="0001733A">
        <w:rPr>
          <w:rFonts w:ascii="Copperplate Gothic Bold" w:hAnsi="Copperplate Gothic Bold"/>
          <w:i/>
          <w:sz w:val="40"/>
        </w:rPr>
        <w:t>EFFORT REPORTING NEWS!</w:t>
      </w:r>
      <w:r w:rsidR="0001733A" w:rsidRPr="0001733A">
        <w:rPr>
          <w:rFonts w:ascii="Copperplate Gothic Bold" w:hAnsi="Copperplate Gothic Bold"/>
          <w:b/>
          <w:i/>
          <w:noProof/>
          <w:sz w:val="36"/>
          <w:szCs w:val="32"/>
          <w:bdr w:val="single" w:sz="12" w:space="0" w:color="C0504D" w:themeColor="accent2"/>
        </w:rPr>
        <w:t xml:space="preserve"> </w:t>
      </w:r>
    </w:p>
    <w:p w:rsidR="00F30325" w:rsidRDefault="0001733A" w:rsidP="0001733A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spacing w:after="0"/>
        <w:rPr>
          <w:rFonts w:ascii="Copperplate Gothic Bold" w:hAnsi="Copperplate Gothic Bold"/>
          <w:i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199D605" wp14:editId="45B4643E">
                <wp:simplePos x="0" y="0"/>
                <wp:positionH relativeFrom="column">
                  <wp:posOffset>-76200</wp:posOffset>
                </wp:positionH>
                <wp:positionV relativeFrom="paragraph">
                  <wp:posOffset>586105</wp:posOffset>
                </wp:positionV>
                <wp:extent cx="57150" cy="8169275"/>
                <wp:effectExtent l="0" t="0" r="0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816927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pt;margin-top:46.15pt;width:4.5pt;height:643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" fillcolor="#90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C22BBC">
        <w:rPr>
          <w:rFonts w:ascii="Copperplate Gothic Bold" w:hAnsi="Copperplate Gothic Bold"/>
          <w:i/>
        </w:rPr>
        <w:t>June</w:t>
      </w:r>
      <w:r w:rsidRPr="0001733A">
        <w:rPr>
          <w:rFonts w:ascii="Copperplate Gothic Bold" w:hAnsi="Copperplate Gothic Bold"/>
          <w:i/>
        </w:rPr>
        <w:t xml:space="preserve"> 2013</w:t>
      </w:r>
    </w:p>
    <w:p w:rsidR="00F30325" w:rsidRPr="00F30325" w:rsidRDefault="005703B4" w:rsidP="00F30325">
      <w:pPr>
        <w:rPr>
          <w:rFonts w:ascii="Copperplate Gothic Bold" w:hAnsi="Copperplate Gothic Bold"/>
        </w:rPr>
      </w:pPr>
      <w:r w:rsidRPr="0001733A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683FA" wp14:editId="41B1E569">
                <wp:simplePos x="0" y="0"/>
                <wp:positionH relativeFrom="column">
                  <wp:posOffset>76200</wp:posOffset>
                </wp:positionH>
                <wp:positionV relativeFrom="paragraph">
                  <wp:posOffset>225425</wp:posOffset>
                </wp:positionV>
                <wp:extent cx="6343650" cy="2962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1C" w:rsidRDefault="00405B1C" w:rsidP="00C22BBC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NEW </w:t>
                            </w:r>
                            <w:r w:rsidRPr="00C22BBC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Tools Available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to Document </w:t>
                            </w:r>
                            <w:r w:rsidR="00B7513C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Use of a</w:t>
                            </w:r>
                          </w:p>
                          <w:p w:rsidR="00405B1C" w:rsidRDefault="00405B1C" w:rsidP="00C22BBC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C22BBC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Non-federal Grant as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a </w:t>
                            </w:r>
                            <w:r w:rsidRPr="00C22BBC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Cost Share Source </w:t>
                            </w:r>
                          </w:p>
                          <w:p w:rsidR="00405B1C" w:rsidRDefault="00DD1FB5" w:rsidP="00C22BBC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Multiple reporting issues appear on </w:t>
                            </w:r>
                            <w:r w:rsidR="00405B1C">
                              <w:rPr>
                                <w:rFonts w:ascii="Verdana" w:hAnsi="Verdana"/>
                              </w:rPr>
                              <w:t>FECs when a non-federal grant is u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sed                as a source of cost sharing. </w:t>
                            </w:r>
                            <w:r w:rsidR="00405B1C">
                              <w:rPr>
                                <w:rFonts w:ascii="Verdana" w:hAnsi="Verdana"/>
                              </w:rPr>
                              <w:t xml:space="preserve">In order to standardize the process and aid campus in documenting this type of cost sharing, a worksheet is now available on the FEC website. </w:t>
                            </w:r>
                          </w:p>
                          <w:p w:rsidR="00405B1C" w:rsidRDefault="00405B1C" w:rsidP="00C22BBC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The </w:t>
                            </w:r>
                            <w:hyperlink r:id="rId7" w:history="1">
                              <w:r w:rsidRPr="00D359C3">
                                <w:rPr>
                                  <w:rStyle w:val="Hyperlink"/>
                                  <w:rFonts w:ascii="Verdana" w:hAnsi="Verdana"/>
                                  <w:i/>
                                </w:rPr>
                                <w:t>Non-Federal Grant Used as a Source of Cost Share Worksheet</w:t>
                              </w:r>
                              <w:r w:rsidRPr="00D359C3">
                                <w:rPr>
                                  <w:rStyle w:val="Hyperlink"/>
                                  <w:rFonts w:ascii="Verdana" w:hAnsi="Verdana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Verdana" w:hAnsi="Verdana"/>
                              </w:rPr>
                              <w:t xml:space="preserve"> provides a guide for adjusting the FEC and provides some sample scenarios. </w:t>
                            </w:r>
                          </w:p>
                          <w:p w:rsidR="00405B1C" w:rsidRDefault="00405B1C" w:rsidP="00C22BBC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In addition to the worksheet, a Job Aid, </w:t>
                            </w:r>
                            <w:hyperlink r:id="rId8" w:history="1">
                              <w:r w:rsidRPr="00D649E1">
                                <w:rPr>
                                  <w:rStyle w:val="Hyperlink"/>
                                  <w:rFonts w:ascii="Verdana" w:hAnsi="Verdana"/>
                                  <w:i/>
                                </w:rPr>
                                <w:t>Using a Non-Federal Grant as a Source of Cost Share</w:t>
                              </w:r>
                            </w:hyperlink>
                            <w:r>
                              <w:rPr>
                                <w:rFonts w:ascii="Verdana" w:hAnsi="Verdana"/>
                                <w:i/>
                              </w:rPr>
                              <w:t xml:space="preserve"> </w:t>
                            </w:r>
                            <w:r w:rsidRPr="00D649E1">
                              <w:rPr>
                                <w:rFonts w:ascii="Verdana" w:hAnsi="Verdana"/>
                              </w:rPr>
                              <w:t>provides additional guidance.</w:t>
                            </w:r>
                          </w:p>
                          <w:p w:rsidR="00405B1C" w:rsidRDefault="00405B1C" w:rsidP="00C22BBC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It is important to note, before a grant is used as a cost share source, written confirmation from both sponsors must be in the grant file. </w:t>
                            </w:r>
                          </w:p>
                          <w:p w:rsidR="00405B1C" w:rsidRDefault="00405B1C" w:rsidP="0001733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05B1C" w:rsidRDefault="00405B1C" w:rsidP="0001733A">
                            <w:pPr>
                              <w:widowControl w:val="0"/>
                            </w:pPr>
                            <w:r>
                              <w:t xml:space="preserve"> </w:t>
                            </w:r>
                          </w:p>
                          <w:p w:rsidR="00405B1C" w:rsidRDefault="00405B1C" w:rsidP="0001733A">
                            <w:pPr>
                              <w:widowControl w:val="0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405B1C" w:rsidRDefault="00405B1C" w:rsidP="0001733A">
                            <w:pPr>
                              <w:widowControl w:val="0"/>
                              <w:rPr>
                                <w:sz w:val="21"/>
                                <w:szCs w:val="20"/>
                              </w:rPr>
                            </w:pPr>
                          </w:p>
                          <w:p w:rsidR="00405B1C" w:rsidRDefault="00405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7.75pt;width:499.5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6EIgIAAB4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" stroked="f">
                <v:textbox>
                  <w:txbxContent>
                    <w:p w:rsidR="00405B1C" w:rsidRDefault="00405B1C" w:rsidP="00C22BBC">
                      <w:pPr>
                        <w:spacing w:after="0"/>
                        <w:rPr>
                          <w:rFonts w:ascii="Verdana" w:hAnsi="Verdana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 xml:space="preserve">NEW </w:t>
                      </w:r>
                      <w:r w:rsidRPr="00C22BBC">
                        <w:rPr>
                          <w:rFonts w:ascii="Verdana" w:hAnsi="Verdana"/>
                          <w:b/>
                          <w:sz w:val="28"/>
                        </w:rPr>
                        <w:t>Tools Available</w:t>
                      </w:r>
                      <w:r>
                        <w:rPr>
                          <w:rFonts w:ascii="Verdana" w:hAnsi="Verdana"/>
                          <w:b/>
                          <w:sz w:val="28"/>
                        </w:rPr>
                        <w:t xml:space="preserve"> to Document </w:t>
                      </w:r>
                      <w:r w:rsidR="00B7513C">
                        <w:rPr>
                          <w:rFonts w:ascii="Verdana" w:hAnsi="Verdana"/>
                          <w:b/>
                          <w:sz w:val="28"/>
                        </w:rPr>
                        <w:t>Use of a</w:t>
                      </w:r>
                    </w:p>
                    <w:p w:rsidR="00405B1C" w:rsidRDefault="00405B1C" w:rsidP="00C22BBC">
                      <w:pPr>
                        <w:spacing w:after="0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C22BBC">
                        <w:rPr>
                          <w:rFonts w:ascii="Verdana" w:hAnsi="Verdana"/>
                          <w:b/>
                          <w:sz w:val="28"/>
                        </w:rPr>
                        <w:t xml:space="preserve">Non-federal Grant as </w:t>
                      </w:r>
                      <w:r>
                        <w:rPr>
                          <w:rFonts w:ascii="Verdana" w:hAnsi="Verdana"/>
                          <w:b/>
                          <w:sz w:val="28"/>
                        </w:rPr>
                        <w:t xml:space="preserve">a </w:t>
                      </w:r>
                      <w:r w:rsidRPr="00C22BBC">
                        <w:rPr>
                          <w:rFonts w:ascii="Verdana" w:hAnsi="Verdana"/>
                          <w:b/>
                          <w:sz w:val="28"/>
                        </w:rPr>
                        <w:t>Cost Share Source </w:t>
                      </w:r>
                    </w:p>
                    <w:p w:rsidR="00405B1C" w:rsidRDefault="00DD1FB5" w:rsidP="00C22BBC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Multiple reporting issues appear on </w:t>
                      </w:r>
                      <w:r w:rsidR="00405B1C">
                        <w:rPr>
                          <w:rFonts w:ascii="Verdana" w:hAnsi="Verdana"/>
                        </w:rPr>
                        <w:t>FECs when a non-federal grant is u</w:t>
                      </w:r>
                      <w:r>
                        <w:rPr>
                          <w:rFonts w:ascii="Verdana" w:hAnsi="Verdana"/>
                        </w:rPr>
                        <w:t xml:space="preserve">sed                as a source of cost sharing. </w:t>
                      </w:r>
                      <w:r w:rsidR="00405B1C">
                        <w:rPr>
                          <w:rFonts w:ascii="Verdana" w:hAnsi="Verdana"/>
                        </w:rPr>
                        <w:t xml:space="preserve">In order to standardize the process and aid campus in documenting this type of cost sharing, a worksheet is now available on the FEC website. </w:t>
                      </w:r>
                    </w:p>
                    <w:p w:rsidR="00405B1C" w:rsidRDefault="00405B1C" w:rsidP="00C22BBC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The </w:t>
                      </w:r>
                      <w:hyperlink r:id="rId9" w:history="1">
                        <w:r w:rsidRPr="00D359C3">
                          <w:rPr>
                            <w:rStyle w:val="Hyperlink"/>
                            <w:rFonts w:ascii="Verdana" w:hAnsi="Verdana"/>
                            <w:i/>
                          </w:rPr>
                          <w:t>Non-Federal Grant Used as a Source of Cost Share Worksheet</w:t>
                        </w:r>
                        <w:r w:rsidRPr="00D359C3">
                          <w:rPr>
                            <w:rStyle w:val="Hyperlink"/>
                            <w:rFonts w:ascii="Verdana" w:hAnsi="Verdana"/>
                          </w:rPr>
                          <w:t xml:space="preserve"> </w:t>
                        </w:r>
                      </w:hyperlink>
                      <w:r>
                        <w:rPr>
                          <w:rFonts w:ascii="Verdana" w:hAnsi="Verdana"/>
                        </w:rPr>
                        <w:t xml:space="preserve"> provides a guide for adjusting the FEC and provides some sample scenarios. </w:t>
                      </w:r>
                    </w:p>
                    <w:p w:rsidR="00405B1C" w:rsidRDefault="00405B1C" w:rsidP="00C22BBC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In addition to the worksheet, a Job Aid, </w:t>
                      </w:r>
                      <w:hyperlink r:id="rId10" w:history="1">
                        <w:r w:rsidRPr="00D649E1">
                          <w:rPr>
                            <w:rStyle w:val="Hyperlink"/>
                            <w:rFonts w:ascii="Verdana" w:hAnsi="Verdana"/>
                            <w:i/>
                          </w:rPr>
                          <w:t>Using a Non-Federal Grant as a Source of Cost Share</w:t>
                        </w:r>
                      </w:hyperlink>
                      <w:r>
                        <w:rPr>
                          <w:rFonts w:ascii="Verdana" w:hAnsi="Verdana"/>
                          <w:i/>
                        </w:rPr>
                        <w:t xml:space="preserve"> </w:t>
                      </w:r>
                      <w:r w:rsidRPr="00D649E1">
                        <w:rPr>
                          <w:rFonts w:ascii="Verdana" w:hAnsi="Verdana"/>
                        </w:rPr>
                        <w:t>provides additional guidance.</w:t>
                      </w:r>
                    </w:p>
                    <w:p w:rsidR="00405B1C" w:rsidRDefault="00405B1C" w:rsidP="00C22BBC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It is important to note, before a grant is used as a cost share source, written confirmation from both sponsors must be in the grant file. </w:t>
                      </w:r>
                    </w:p>
                    <w:p w:rsidR="00405B1C" w:rsidRDefault="00405B1C" w:rsidP="0001733A">
                      <w:pPr>
                        <w:widowControl w:val="0"/>
                      </w:pPr>
                      <w:r>
                        <w:t> </w:t>
                      </w:r>
                    </w:p>
                    <w:p w:rsidR="00405B1C" w:rsidRDefault="00405B1C" w:rsidP="0001733A">
                      <w:pPr>
                        <w:widowControl w:val="0"/>
                      </w:pPr>
                      <w:r>
                        <w:t xml:space="preserve"> </w:t>
                      </w:r>
                    </w:p>
                    <w:p w:rsidR="00405B1C" w:rsidRDefault="00405B1C" w:rsidP="0001733A">
                      <w:pPr>
                        <w:widowControl w:val="0"/>
                        <w:rPr>
                          <w:sz w:val="21"/>
                          <w:szCs w:val="20"/>
                        </w:rPr>
                      </w:pPr>
                      <w:r>
                        <w:t> </w:t>
                      </w:r>
                    </w:p>
                    <w:p w:rsidR="00405B1C" w:rsidRDefault="00405B1C" w:rsidP="0001733A">
                      <w:pPr>
                        <w:widowControl w:val="0"/>
                        <w:rPr>
                          <w:sz w:val="21"/>
                          <w:szCs w:val="20"/>
                        </w:rPr>
                      </w:pPr>
                    </w:p>
                    <w:p w:rsidR="00405B1C" w:rsidRDefault="00405B1C"/>
                  </w:txbxContent>
                </v:textbox>
              </v:shape>
            </w:pict>
          </mc:Fallback>
        </mc:AlternateConten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5703B4" w:rsidP="00F30325">
      <w:pPr>
        <w:rPr>
          <w:rFonts w:ascii="Copperplate Gothic Bold" w:hAnsi="Copperplate Gothic Bold"/>
        </w:rPr>
      </w:pPr>
      <w:r w:rsidRPr="00FD7735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FBA38" wp14:editId="33B7DD00">
                <wp:simplePos x="0" y="0"/>
                <wp:positionH relativeFrom="column">
                  <wp:posOffset>151130</wp:posOffset>
                </wp:positionH>
                <wp:positionV relativeFrom="paragraph">
                  <wp:posOffset>127747</wp:posOffset>
                </wp:positionV>
                <wp:extent cx="6467475" cy="13620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1C" w:rsidRDefault="00405B1C" w:rsidP="00405B1C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405B1C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Fixed Price Surplus</w:t>
                            </w:r>
                            <w:r w:rsidR="00DD1FB5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Budgets</w:t>
                            </w:r>
                            <w:r w:rsidRPr="00405B1C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Removed from Grant and Contract Certification Reports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(GCCRs)  </w:t>
                            </w:r>
                          </w:p>
                          <w:p w:rsidR="00405B1C" w:rsidRPr="00257889" w:rsidRDefault="00257889" w:rsidP="00257889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257889">
                              <w:rPr>
                                <w:rFonts w:ascii="Verdana" w:hAnsi="Verdana"/>
                              </w:rPr>
                              <w:t>Starting with the G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rant and </w:t>
                            </w:r>
                            <w:r w:rsidRPr="00257889">
                              <w:rPr>
                                <w:rFonts w:ascii="Verdana" w:hAnsi="Verdana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ontract </w:t>
                            </w:r>
                            <w:r w:rsidRPr="00257889">
                              <w:rPr>
                                <w:rFonts w:ascii="Verdana" w:hAnsi="Verdana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ertification </w:t>
                            </w:r>
                            <w:r w:rsidRPr="00257889">
                              <w:rPr>
                                <w:rFonts w:ascii="Verdana" w:hAnsi="Verdana"/>
                              </w:rPr>
                              <w:t>R</w:t>
                            </w:r>
                            <w:r>
                              <w:rPr>
                                <w:rFonts w:ascii="Verdana" w:hAnsi="Verdana"/>
                              </w:rPr>
                              <w:t>eport</w:t>
                            </w:r>
                            <w:r w:rsidRPr="00257889">
                              <w:rPr>
                                <w:rFonts w:ascii="Verdana" w:hAnsi="Verdana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(GCCRs)</w:t>
                            </w:r>
                            <w:r w:rsidRPr="00257889">
                              <w:rPr>
                                <w:rFonts w:ascii="Verdana" w:hAnsi="Verdana"/>
                              </w:rPr>
                              <w:t xml:space="preserve"> for the April – June 2013 quarter, fixed price surplus budgets will no longer appear on the GCCR. This puts the GCCR in alignment with the Faculty Effort Certification (FEC) report. </w:t>
                            </w:r>
                          </w:p>
                          <w:p w:rsidR="00405B1C" w:rsidRDefault="00405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9pt;margin-top:10.05pt;width:509.2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" stroked="f">
                <v:textbox>
                  <w:txbxContent>
                    <w:p w:rsidR="00405B1C" w:rsidRDefault="00405B1C" w:rsidP="00405B1C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405B1C">
                        <w:rPr>
                          <w:rFonts w:ascii="Verdana" w:hAnsi="Verdana"/>
                          <w:b/>
                          <w:sz w:val="28"/>
                        </w:rPr>
                        <w:t>Fixed Price Surplus</w:t>
                      </w:r>
                      <w:r w:rsidR="00DD1FB5">
                        <w:rPr>
                          <w:rFonts w:ascii="Verdana" w:hAnsi="Verdana"/>
                          <w:b/>
                          <w:sz w:val="28"/>
                        </w:rPr>
                        <w:t xml:space="preserve"> Budgets</w:t>
                      </w:r>
                      <w:r w:rsidRPr="00405B1C">
                        <w:rPr>
                          <w:rFonts w:ascii="Verdana" w:hAnsi="Verdana"/>
                          <w:b/>
                          <w:sz w:val="28"/>
                        </w:rPr>
                        <w:t xml:space="preserve"> Removed from Grant and Contract Certification Reports</w:t>
                      </w:r>
                      <w:r>
                        <w:rPr>
                          <w:rFonts w:ascii="Verdana" w:hAnsi="Verdana"/>
                          <w:b/>
                          <w:sz w:val="28"/>
                        </w:rPr>
                        <w:t xml:space="preserve"> (GCCRs)  </w:t>
                      </w:r>
                    </w:p>
                    <w:p w:rsidR="00405B1C" w:rsidRPr="00257889" w:rsidRDefault="00257889" w:rsidP="00257889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257889">
                        <w:rPr>
                          <w:rFonts w:ascii="Verdana" w:hAnsi="Verdana"/>
                        </w:rPr>
                        <w:t>Starting with the G</w:t>
                      </w:r>
                      <w:r>
                        <w:rPr>
                          <w:rFonts w:ascii="Verdana" w:hAnsi="Verdana"/>
                        </w:rPr>
                        <w:t xml:space="preserve">rant and </w:t>
                      </w:r>
                      <w:r w:rsidRPr="00257889">
                        <w:rPr>
                          <w:rFonts w:ascii="Verdana" w:hAnsi="Verdana"/>
                        </w:rPr>
                        <w:t>C</w:t>
                      </w:r>
                      <w:r>
                        <w:rPr>
                          <w:rFonts w:ascii="Verdana" w:hAnsi="Verdana"/>
                        </w:rPr>
                        <w:t xml:space="preserve">ontract </w:t>
                      </w:r>
                      <w:r w:rsidRPr="00257889">
                        <w:rPr>
                          <w:rFonts w:ascii="Verdana" w:hAnsi="Verdana"/>
                        </w:rPr>
                        <w:t>C</w:t>
                      </w:r>
                      <w:r>
                        <w:rPr>
                          <w:rFonts w:ascii="Verdana" w:hAnsi="Verdana"/>
                        </w:rPr>
                        <w:t xml:space="preserve">ertification </w:t>
                      </w:r>
                      <w:r w:rsidRPr="00257889">
                        <w:rPr>
                          <w:rFonts w:ascii="Verdana" w:hAnsi="Verdana"/>
                        </w:rPr>
                        <w:t>R</w:t>
                      </w:r>
                      <w:r>
                        <w:rPr>
                          <w:rFonts w:ascii="Verdana" w:hAnsi="Verdana"/>
                        </w:rPr>
                        <w:t>eport</w:t>
                      </w:r>
                      <w:r w:rsidRPr="00257889">
                        <w:rPr>
                          <w:rFonts w:ascii="Verdana" w:hAnsi="Verdana"/>
                        </w:rPr>
                        <w:t>s</w:t>
                      </w:r>
                      <w:r>
                        <w:rPr>
                          <w:rFonts w:ascii="Verdana" w:hAnsi="Verdana"/>
                        </w:rPr>
                        <w:t xml:space="preserve"> (GCCRs)</w:t>
                      </w:r>
                      <w:r w:rsidRPr="00257889">
                        <w:rPr>
                          <w:rFonts w:ascii="Verdana" w:hAnsi="Verdana"/>
                        </w:rPr>
                        <w:t xml:space="preserve"> for the April – June 2013 quarter, fixed price surplus budgets will no longer appear on the GCCR. This puts the GCCR in alignment with the Faculty Effort Certification (FEC) report. </w:t>
                      </w:r>
                    </w:p>
                    <w:p w:rsidR="00405B1C" w:rsidRDefault="00405B1C"/>
                  </w:txbxContent>
                </v:textbox>
              </v:shape>
            </w:pict>
          </mc:Fallback>
        </mc:AlternateConten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B7513C" w:rsidP="00F30325">
      <w:pPr>
        <w:rPr>
          <w:rFonts w:ascii="Copperplate Gothic Bold" w:hAnsi="Copperplate Gothic Bold"/>
        </w:rPr>
      </w:pPr>
      <w:r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21E9C" wp14:editId="392CF222">
                <wp:simplePos x="0" y="0"/>
                <wp:positionH relativeFrom="column">
                  <wp:posOffset>247650</wp:posOffset>
                </wp:positionH>
                <wp:positionV relativeFrom="paragraph">
                  <wp:posOffset>163830</wp:posOffset>
                </wp:positionV>
                <wp:extent cx="2853690" cy="2533650"/>
                <wp:effectExtent l="57150" t="57150" r="118110" b="1143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5C1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05B1C" w:rsidRPr="005703B4" w:rsidRDefault="00405B1C" w:rsidP="001438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Training Available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     June – July</w:t>
                            </w:r>
                          </w:p>
                          <w:p w:rsidR="00405B1C" w:rsidRDefault="00405B1C" w:rsidP="00B751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Beyond the Basics: Salary Limitations, Salary Cap and K Awards</w:t>
                            </w:r>
                          </w:p>
                          <w:p w:rsidR="00B7513C" w:rsidRPr="0014381C" w:rsidRDefault="00B7513C" w:rsidP="00B751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Introduction to Grant &amp; Contract Certification</w:t>
                            </w:r>
                          </w:p>
                          <w:p w:rsidR="00405B1C" w:rsidRPr="0014381C" w:rsidRDefault="00405B1C" w:rsidP="0025788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Beyond the Basics: Using the Tools, Calculators, Worksheets and Reports</w:t>
                            </w:r>
                          </w:p>
                          <w:p w:rsidR="00405B1C" w:rsidRPr="005703B4" w:rsidRDefault="00405B1C" w:rsidP="0014381C">
                            <w:pPr>
                              <w:pStyle w:val="msobodytext4"/>
                              <w:widowControl w:val="0"/>
                              <w:rPr>
                                <w:i w:val="0"/>
                                <w:iCs w:val="0"/>
                                <w:szCs w:val="22"/>
                                <w14:ligatures w14:val="none"/>
                              </w:rPr>
                            </w:pPr>
                            <w:r w:rsidRPr="005703B4">
                              <w:rPr>
                                <w:szCs w:val="22"/>
                                <w14:ligatures w14:val="none"/>
                              </w:rPr>
                              <w:t xml:space="preserve">Register at: </w:t>
                            </w:r>
                            <w:hyperlink r:id="rId11" w:history="1">
                              <w:r w:rsidRPr="00AB535C">
                                <w:rPr>
                                  <w:rStyle w:val="Hyperlink"/>
                                  <w:szCs w:val="22"/>
                                  <w14:ligatures w14:val="none"/>
                                </w:rPr>
                                <w:t>http://www.washington.edu/research/index.php?page=ospLearning</w:t>
                              </w:r>
                            </w:hyperlink>
                            <w:r>
                              <w:rPr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05B1C" w:rsidRDefault="00405B1C" w:rsidP="0014381C">
                            <w:pPr>
                              <w:widowControl w:val="0"/>
                              <w:rPr>
                                <w:sz w:val="21"/>
                              </w:rPr>
                            </w:pPr>
                            <w:r>
                              <w:t> </w:t>
                            </w:r>
                          </w:p>
                          <w:p w:rsidR="00405B1C" w:rsidRDefault="00405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.5pt;margin-top:12.9pt;width:224.7pt;height:19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" strokecolor="#f5c159" strokeweight="2.25pt">
                <v:shadow on="t" color="black" opacity="26214f" origin="-.5,-.5" offset=".74836mm,.74836mm"/>
                <v:textbox>
                  <w:txbxContent>
                    <w:p w:rsidR="00405B1C" w:rsidRPr="005703B4" w:rsidRDefault="00405B1C" w:rsidP="0014381C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5703B4">
                        <w:rPr>
                          <w:rFonts w:ascii="Verdana" w:hAnsi="Verdana"/>
                          <w:b/>
                          <w:sz w:val="28"/>
                        </w:rPr>
                        <w:t xml:space="preserve">Training Available </w:t>
                      </w:r>
                      <w:r>
                        <w:rPr>
                          <w:rFonts w:ascii="Verdana" w:hAnsi="Verdana"/>
                          <w:b/>
                          <w:sz w:val="28"/>
                        </w:rPr>
                        <w:t xml:space="preserve">      June – July</w:t>
                      </w:r>
                    </w:p>
                    <w:p w:rsidR="00405B1C" w:rsidRDefault="00405B1C" w:rsidP="00B7513C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Beyond the Basics: Salary Limitations, Salary Cap and K Awards</w:t>
                      </w:r>
                    </w:p>
                    <w:p w:rsidR="00B7513C" w:rsidRPr="0014381C" w:rsidRDefault="00B7513C" w:rsidP="00B7513C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Introduction to Grant &amp; Contract Certification</w:t>
                      </w:r>
                    </w:p>
                    <w:p w:rsidR="00405B1C" w:rsidRPr="0014381C" w:rsidRDefault="00405B1C" w:rsidP="00257889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Beyond the Basics: Using the Tools, Calculators, Worksheets and Reports</w:t>
                      </w:r>
                    </w:p>
                    <w:p w:rsidR="00405B1C" w:rsidRPr="005703B4" w:rsidRDefault="00405B1C" w:rsidP="0014381C">
                      <w:pPr>
                        <w:pStyle w:val="msobodytext4"/>
                        <w:widowControl w:val="0"/>
                        <w:rPr>
                          <w:i w:val="0"/>
                          <w:iCs w:val="0"/>
                          <w:szCs w:val="22"/>
                          <w14:ligatures w14:val="none"/>
                        </w:rPr>
                      </w:pPr>
                      <w:r w:rsidRPr="005703B4">
                        <w:rPr>
                          <w:szCs w:val="22"/>
                          <w14:ligatures w14:val="none"/>
                        </w:rPr>
                        <w:t xml:space="preserve">Register at: </w:t>
                      </w:r>
                      <w:hyperlink r:id="rId12" w:history="1">
                        <w:r w:rsidRPr="00AB535C">
                          <w:rPr>
                            <w:rStyle w:val="Hyperlink"/>
                            <w:szCs w:val="22"/>
                            <w14:ligatures w14:val="none"/>
                          </w:rPr>
                          <w:t>http://www.washington.edu/research/index.php?page=ospLearning</w:t>
                        </w:r>
                      </w:hyperlink>
                      <w:r>
                        <w:rPr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405B1C" w:rsidRDefault="00405B1C" w:rsidP="0014381C">
                      <w:pPr>
                        <w:widowControl w:val="0"/>
                        <w:rPr>
                          <w:sz w:val="21"/>
                        </w:rPr>
                      </w:pPr>
                      <w:r>
                        <w:t> </w:t>
                      </w:r>
                    </w:p>
                    <w:p w:rsidR="00405B1C" w:rsidRDefault="00405B1C"/>
                  </w:txbxContent>
                </v:textbox>
              </v:shape>
            </w:pict>
          </mc:Fallback>
        </mc:AlternateContent>
      </w:r>
      <w:r w:rsidR="007E2EAC"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ACB8D" wp14:editId="2BFFE572">
                <wp:simplePos x="0" y="0"/>
                <wp:positionH relativeFrom="column">
                  <wp:posOffset>3438525</wp:posOffset>
                </wp:positionH>
                <wp:positionV relativeFrom="paragraph">
                  <wp:posOffset>30480</wp:posOffset>
                </wp:positionV>
                <wp:extent cx="3291840" cy="3771900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1C" w:rsidRDefault="00257889" w:rsidP="007E2EAC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Sponsored projects should only be charged expenses necessary to meet the objectives of the project. For fixed price agreements, any true residual balance should be transferred to a fixed price surplus budget. Once transferred, the fixed price surplus budget is no longer considered a sponsored project</w:t>
                            </w:r>
                            <w:r w:rsidR="00D00D5E">
                              <w:rPr>
                                <w:rFonts w:ascii="Verdana" w:hAnsi="Verdana"/>
                              </w:rPr>
                              <w:t xml:space="preserve"> and will not appear on the GCCR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. </w:t>
                            </w:r>
                          </w:p>
                          <w:p w:rsidR="007E2EAC" w:rsidRPr="007E2EAC" w:rsidRDefault="007E2EAC" w:rsidP="007E2EAC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</w:p>
                          <w:p w:rsidR="00196018" w:rsidRDefault="00196018" w:rsidP="00196018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196018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FECs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Being </w:t>
                            </w:r>
                            <w:r w:rsidRPr="00196018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Certified with Insufficient Funds</w:t>
                            </w:r>
                          </w:p>
                          <w:p w:rsidR="00196018" w:rsidRPr="00196018" w:rsidRDefault="00196018" w:rsidP="00196018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MAA review has revealed several FECs that have been certified with insufficient funds for cost sharing. Departments should include resolution of the insufficient funds error message</w:t>
                            </w:r>
                            <w:r w:rsidR="001A327E">
                              <w:rPr>
                                <w:rFonts w:ascii="Verdana" w:hAnsi="Verdana"/>
                              </w:rPr>
                              <w:t xml:space="preserve"> in their review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before the FEC is released to faculty. MAA is reviewing these FECs and contacting departments. </w:t>
                            </w:r>
                          </w:p>
                          <w:p w:rsidR="00405B1C" w:rsidRDefault="00405B1C" w:rsidP="0014381C">
                            <w:pPr>
                              <w:widowControl w:val="0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405B1C" w:rsidRDefault="00405B1C" w:rsidP="0014381C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  <w:p w:rsidR="00405B1C" w:rsidRDefault="00405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0.75pt;margin-top:2.4pt;width:259.2pt;height:29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" stroked="f">
                <v:textbox>
                  <w:txbxContent>
                    <w:p w:rsidR="00405B1C" w:rsidRDefault="00257889" w:rsidP="007E2EAC">
                      <w:pPr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Sponsored projects should only be charged expenses necessary to meet the objectives of the project. For fixed price agreements, any true residual balance should be transferred to a fixed price surplus budget. Once transferred, the fixed price surplus budget is no longer considered a sponsored project</w:t>
                      </w:r>
                      <w:r w:rsidR="00D00D5E">
                        <w:rPr>
                          <w:rFonts w:ascii="Verdana" w:hAnsi="Verdana"/>
                        </w:rPr>
                        <w:t xml:space="preserve"> and will not appear on the GCCR</w:t>
                      </w:r>
                      <w:r>
                        <w:rPr>
                          <w:rFonts w:ascii="Verdana" w:hAnsi="Verdana"/>
                        </w:rPr>
                        <w:t xml:space="preserve">. </w:t>
                      </w:r>
                    </w:p>
                    <w:p w:rsidR="007E2EAC" w:rsidRPr="007E2EAC" w:rsidRDefault="007E2EAC" w:rsidP="007E2EAC">
                      <w:pPr>
                        <w:spacing w:after="0"/>
                        <w:rPr>
                          <w:rFonts w:ascii="Verdana" w:hAnsi="Verdana"/>
                        </w:rPr>
                      </w:pPr>
                    </w:p>
                    <w:p w:rsidR="00196018" w:rsidRDefault="00196018" w:rsidP="00196018">
                      <w:pPr>
                        <w:spacing w:after="0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196018">
                        <w:rPr>
                          <w:rFonts w:ascii="Verdana" w:hAnsi="Verdana"/>
                          <w:b/>
                          <w:sz w:val="28"/>
                        </w:rPr>
                        <w:t xml:space="preserve">FECs </w:t>
                      </w:r>
                      <w:r>
                        <w:rPr>
                          <w:rFonts w:ascii="Verdana" w:hAnsi="Verdana"/>
                          <w:b/>
                          <w:sz w:val="28"/>
                        </w:rPr>
                        <w:t xml:space="preserve">Being </w:t>
                      </w:r>
                      <w:r w:rsidRPr="00196018">
                        <w:rPr>
                          <w:rFonts w:ascii="Verdana" w:hAnsi="Verdana"/>
                          <w:b/>
                          <w:sz w:val="28"/>
                        </w:rPr>
                        <w:t>Certified with Insufficient Funds</w:t>
                      </w:r>
                    </w:p>
                    <w:p w:rsidR="00196018" w:rsidRPr="00196018" w:rsidRDefault="00196018" w:rsidP="00196018">
                      <w:pPr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MAA review has revealed several FECs that have been certified with insufficient funds for cost sharing. Departments should include resolution of the insufficient funds error message</w:t>
                      </w:r>
                      <w:r w:rsidR="001A327E">
                        <w:rPr>
                          <w:rFonts w:ascii="Verdana" w:hAnsi="Verdana"/>
                        </w:rPr>
                        <w:t xml:space="preserve"> in their review</w:t>
                      </w:r>
                      <w:r>
                        <w:rPr>
                          <w:rFonts w:ascii="Verdana" w:hAnsi="Verdana"/>
                        </w:rPr>
                        <w:t xml:space="preserve"> before the FEC is released to faculty. MAA is reviewing these FECs and contacting departments. </w:t>
                      </w:r>
                    </w:p>
                    <w:p w:rsidR="00405B1C" w:rsidRDefault="00405B1C" w:rsidP="0014381C">
                      <w:pPr>
                        <w:widowControl w:val="0"/>
                        <w:rPr>
                          <w:sz w:val="21"/>
                          <w:szCs w:val="20"/>
                        </w:rPr>
                      </w:pPr>
                      <w:r>
                        <w:t> </w:t>
                      </w:r>
                    </w:p>
                    <w:p w:rsidR="00405B1C" w:rsidRDefault="00405B1C" w:rsidP="0014381C">
                      <w:pPr>
                        <w:widowControl w:val="0"/>
                        <w:rPr>
                          <w:rFonts w:ascii="Verdana" w:hAnsi="Verdana"/>
                          <w:color w:val="000000"/>
                          <w:sz w:val="21"/>
                          <w:szCs w:val="20"/>
                        </w:rPr>
                      </w:pPr>
                    </w:p>
                    <w:p w:rsidR="00405B1C" w:rsidRDefault="00405B1C"/>
                  </w:txbxContent>
                </v:textbox>
              </v:shape>
            </w:pict>
          </mc:Fallback>
        </mc:AlternateConten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Default="00F30325" w:rsidP="00F30325">
      <w:pPr>
        <w:rPr>
          <w:rFonts w:ascii="Copperplate Gothic Bold" w:hAnsi="Copperplate Gothic Bold"/>
        </w:rPr>
      </w:pPr>
    </w:p>
    <w:bookmarkStart w:id="0" w:name="_GoBack"/>
    <w:bookmarkEnd w:id="0"/>
    <w:p w:rsidR="00F30325" w:rsidRPr="00F30325" w:rsidRDefault="00B44599" w:rsidP="00F3032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135890</wp:posOffset>
                </wp:positionV>
                <wp:extent cx="2590800" cy="1504950"/>
                <wp:effectExtent l="0" t="0" r="19050" b="19050"/>
                <wp:wrapNone/>
                <wp:docPr id="1" name="Teardro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0495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1" o:spid="_x0000_s1026" style="position:absolute;margin-left:29.25pt;margin-top:10.7pt;width:204pt;height:1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0,150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" path="m,752475c,336895,579970,,1295400,l2590800,r,752475c2590800,1168055,2010830,1504950,1295400,1504950,579970,1504950,,1168055,,752475xe" filled="f" strokecolor="#943634 [2405]" strokeweight="2pt">
                <v:path arrowok="t" o:connecttype="custom" o:connectlocs="0,752475;1295400,0;2590800,0;2590800,752475;1295400,1504950;0,752475" o:connectangles="0,0,0,0,0,0"/>
              </v:shape>
            </w:pict>
          </mc:Fallback>
        </mc:AlternateContent>
      </w:r>
      <w:r w:rsidR="00F30325" w:rsidRPr="00F30325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D2C62D" wp14:editId="0B097914">
                <wp:simplePos x="0" y="0"/>
                <wp:positionH relativeFrom="column">
                  <wp:posOffset>1495425</wp:posOffset>
                </wp:positionH>
                <wp:positionV relativeFrom="paragraph">
                  <wp:posOffset>133985</wp:posOffset>
                </wp:positionV>
                <wp:extent cx="160591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1C" w:rsidRDefault="00196018">
                            <w:r>
                              <w:t>A justification is required for any recertification. Answer the question: Why was the FEC correct when certified and is now being adjusted?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17.75pt;margin-top:10.55pt;width:126.4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" stroked="f">
                <v:textbox style="mso-fit-shape-to-text:t">
                  <w:txbxContent>
                    <w:p w:rsidR="00405B1C" w:rsidRDefault="00196018">
                      <w:r>
                        <w:t>A justification is required for any recertification. Answer the question: Why was the FEC correct when certified and is now being adjusted?</w:t>
                      </w:r>
                    </w:p>
                  </w:txbxContent>
                </v:textbox>
              </v:shape>
            </w:pict>
          </mc:Fallback>
        </mc:AlternateContent>
      </w:r>
    </w:p>
    <w:p w:rsidR="00F30325" w:rsidRDefault="00F30325" w:rsidP="00F30325">
      <w:pPr>
        <w:rPr>
          <w:rFonts w:ascii="Copperplate Gothic Bold" w:hAnsi="Copperplate Gothic Bold"/>
        </w:rPr>
      </w:pPr>
      <w:r w:rsidRPr="00F30325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76A7BF" wp14:editId="340DF5B2">
                <wp:simplePos x="0" y="0"/>
                <wp:positionH relativeFrom="column">
                  <wp:posOffset>369277</wp:posOffset>
                </wp:positionH>
                <wp:positionV relativeFrom="paragraph">
                  <wp:posOffset>65740</wp:posOffset>
                </wp:positionV>
                <wp:extent cx="1235947" cy="1403985"/>
                <wp:effectExtent l="0" t="0" r="254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9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1C" w:rsidRDefault="00405B1C">
                            <w:r w:rsidRPr="00F30325">
                              <w:rPr>
                                <w:noProof/>
                              </w:rPr>
                              <w:drawing>
                                <wp:inline distT="0" distB="0" distL="0" distR="0" wp14:anchorId="17E21F77" wp14:editId="58DDCCFB">
                                  <wp:extent cx="928687" cy="919162"/>
                                  <wp:effectExtent l="0" t="0" r="5080" b="0"/>
                                  <wp:docPr id="11" name="Picture 2" descr="C:\Users\suzette\AppData\Local\Microsoft\Windows\Temporary Internet Files\Content.IE5\87QDL50I\MC90044203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 descr="C:\Users\suzette\AppData\Local\Microsoft\Windows\Temporary Internet Files\Content.IE5\87QDL50I\MC90044203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687" cy="91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9.1pt;margin-top:5.2pt;width:97.3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" stroked="f">
                <v:textbox style="mso-fit-shape-to-text:t">
                  <w:txbxContent>
                    <w:p w:rsidR="00405B1C" w:rsidRDefault="00405B1C">
                      <w:r w:rsidRPr="00F30325">
                        <w:rPr>
                          <w:noProof/>
                        </w:rPr>
                        <w:drawing>
                          <wp:inline distT="0" distB="0" distL="0" distR="0" wp14:anchorId="17E21F77" wp14:editId="58DDCCFB">
                            <wp:extent cx="928687" cy="919162"/>
                            <wp:effectExtent l="0" t="0" r="5080" b="0"/>
                            <wp:docPr id="11" name="Picture 2" descr="C:\Users\suzette\AppData\Local\Microsoft\Windows\Temporary Internet Files\Content.IE5\87QDL50I\MC90044203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 descr="C:\Users\suzette\AppData\Local\Microsoft\Windows\Temporary Internet Files\Content.IE5\87QDL50I\MC90044203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687" cy="91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1733A" w:rsidRPr="00F30325" w:rsidRDefault="00F30325" w:rsidP="00D013FC">
      <w:pPr>
        <w:rPr>
          <w:rFonts w:ascii="Copperplate Gothic Bold" w:hAnsi="Copperplate Gothic Bold"/>
        </w:rPr>
      </w:pPr>
      <w:r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9AAF7" wp14:editId="045097DB">
                <wp:simplePos x="0" y="0"/>
                <wp:positionH relativeFrom="column">
                  <wp:posOffset>3101339</wp:posOffset>
                </wp:positionH>
                <wp:positionV relativeFrom="paragraph">
                  <wp:posOffset>505460</wp:posOffset>
                </wp:positionV>
                <wp:extent cx="3645535" cy="523875"/>
                <wp:effectExtent l="0" t="0" r="1206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523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5C15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B1C" w:rsidRPr="0014381C" w:rsidRDefault="00405B1C" w:rsidP="0014381C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Verdana" w:hAnsi="Verdana"/>
                                <w:i/>
                                <w14:ligatures w14:val="none"/>
                              </w:rPr>
                            </w:pPr>
                            <w:r w:rsidRPr="0014381C">
                              <w:rPr>
                                <w:rFonts w:ascii="Verdana" w:hAnsi="Verdana"/>
                                <w:i/>
                                <w14:ligatures w14:val="none"/>
                              </w:rPr>
                              <w:t>Do you have questions or want someone to call you?                    Email efecs@u.washington.edu</w:t>
                            </w:r>
                          </w:p>
                          <w:p w:rsidR="00405B1C" w:rsidRDefault="00405B1C" w:rsidP="0014381C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t> </w:t>
                            </w:r>
                          </w:p>
                          <w:p w:rsidR="00405B1C" w:rsidRDefault="00405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4.2pt;margin-top:39.8pt;width:287.0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" fillcolor="white [3201]" strokecolor="#f5c159" strokeweight="2pt">
                <v:textbox>
                  <w:txbxContent>
                    <w:p w:rsidR="00405B1C" w:rsidRPr="0014381C" w:rsidRDefault="00405B1C" w:rsidP="0014381C">
                      <w:pPr>
                        <w:pStyle w:val="msoorganizationname2"/>
                        <w:widowControl w:val="0"/>
                        <w:jc w:val="center"/>
                        <w:rPr>
                          <w:rFonts w:ascii="Verdana" w:hAnsi="Verdana"/>
                          <w:i/>
                          <w14:ligatures w14:val="none"/>
                        </w:rPr>
                      </w:pPr>
                      <w:r w:rsidRPr="0014381C">
                        <w:rPr>
                          <w:rFonts w:ascii="Verdana" w:hAnsi="Verdana"/>
                          <w:i/>
                          <w14:ligatures w14:val="none"/>
                        </w:rPr>
                        <w:t>Do you have questions or want someone to call you?                    Email efecs@u.washington.edu</w:t>
                      </w:r>
                    </w:p>
                    <w:p w:rsidR="00405B1C" w:rsidRDefault="00405B1C" w:rsidP="0014381C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t> </w:t>
                      </w:r>
                    </w:p>
                    <w:p w:rsidR="00405B1C" w:rsidRDefault="00405B1C"/>
                  </w:txbxContent>
                </v:textbox>
              </v:shape>
            </w:pict>
          </mc:Fallback>
        </mc:AlternateContent>
      </w:r>
    </w:p>
    <w:sectPr w:rsidR="0001733A" w:rsidRPr="00F30325" w:rsidSect="00DD1FB5">
      <w:pgSz w:w="12240" w:h="15840" w:code="1"/>
      <w:pgMar w:top="720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65E"/>
      </v:shape>
    </w:pict>
  </w:numPicBullet>
  <w:abstractNum w:abstractNumId="0">
    <w:nsid w:val="07E20D78"/>
    <w:multiLevelType w:val="hybridMultilevel"/>
    <w:tmpl w:val="C7BE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6731"/>
    <w:multiLevelType w:val="hybridMultilevel"/>
    <w:tmpl w:val="BB52F03E"/>
    <w:lvl w:ilvl="0" w:tplc="64D253D6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317A"/>
    <w:multiLevelType w:val="hybridMultilevel"/>
    <w:tmpl w:val="BDCEF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7BAA"/>
    <w:multiLevelType w:val="hybridMultilevel"/>
    <w:tmpl w:val="1CB8FDC2"/>
    <w:lvl w:ilvl="0" w:tplc="64D253D6">
      <w:numFmt w:val="bullet"/>
      <w:lvlText w:val="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590A50"/>
    <w:multiLevelType w:val="hybridMultilevel"/>
    <w:tmpl w:val="A66E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46459"/>
    <w:multiLevelType w:val="hybridMultilevel"/>
    <w:tmpl w:val="E16A33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719D2"/>
    <w:multiLevelType w:val="hybridMultilevel"/>
    <w:tmpl w:val="85A0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3A"/>
    <w:rsid w:val="0001733A"/>
    <w:rsid w:val="0014381C"/>
    <w:rsid w:val="00196018"/>
    <w:rsid w:val="001A327E"/>
    <w:rsid w:val="00257889"/>
    <w:rsid w:val="00286054"/>
    <w:rsid w:val="0031284A"/>
    <w:rsid w:val="00405B1C"/>
    <w:rsid w:val="00501F16"/>
    <w:rsid w:val="005703B4"/>
    <w:rsid w:val="006D6942"/>
    <w:rsid w:val="0070251E"/>
    <w:rsid w:val="007E2EAC"/>
    <w:rsid w:val="00926229"/>
    <w:rsid w:val="00983910"/>
    <w:rsid w:val="009A4CCC"/>
    <w:rsid w:val="00A36B72"/>
    <w:rsid w:val="00A7010F"/>
    <w:rsid w:val="00B44599"/>
    <w:rsid w:val="00B7513C"/>
    <w:rsid w:val="00C22BBC"/>
    <w:rsid w:val="00D00D5E"/>
    <w:rsid w:val="00D013FC"/>
    <w:rsid w:val="00D359C3"/>
    <w:rsid w:val="00D649E1"/>
    <w:rsid w:val="00D93317"/>
    <w:rsid w:val="00DD1FB5"/>
    <w:rsid w:val="00E309A6"/>
    <w:rsid w:val="00F30325"/>
    <w:rsid w:val="00FB3CA4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3A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14381C"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bodytext4">
    <w:name w:val="msobodytext4"/>
    <w:rsid w:val="0014381C"/>
    <w:pPr>
      <w:spacing w:after="120" w:line="285" w:lineRule="auto"/>
    </w:pPr>
    <w:rPr>
      <w:rFonts w:ascii="Verdana" w:eastAsia="Times New Roman" w:hAnsi="Verdana" w:cs="Times New Roman"/>
      <w:i/>
      <w:iCs/>
      <w:color w:val="000000"/>
      <w:kern w:val="28"/>
      <w:sz w:val="20"/>
      <w:szCs w:val="19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3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C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3A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14381C"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bodytext4">
    <w:name w:val="msobodytext4"/>
    <w:rsid w:val="0014381C"/>
    <w:pPr>
      <w:spacing w:after="120" w:line="285" w:lineRule="auto"/>
    </w:pPr>
    <w:rPr>
      <w:rFonts w:ascii="Verdana" w:eastAsia="Times New Roman" w:hAnsi="Verdana" w:cs="Times New Roman"/>
      <w:i/>
      <w:iCs/>
      <w:color w:val="000000"/>
      <w:kern w:val="28"/>
      <w:sz w:val="20"/>
      <w:szCs w:val="19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3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2.washington.edu/fm/maa/sites/default/files/Non-Fec%20Grant%20Used%20as%20CS%20Worksheet.pdf" TargetMode="External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hyperlink" Target="http://f2.washington.edu/fm/maa/sites/default/files/NonFEC%20as%20CS%20Source%20Worksheet.xlsx" TargetMode="External"/><Relationship Id="rId12" Type="http://schemas.openxmlformats.org/officeDocument/2006/relationships/hyperlink" Target="http://www.washington.edu/research/index.php?page=ospLear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washington.edu/research/index.php?page=ospLearn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2.washington.edu/fm/maa/sites/default/files/Non-Fec%20Grant%20Used%20as%20CS%20Workshe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2.washington.edu/fm/maa/sites/default/files/NonFEC%20as%20CS%20Source%20Worksheet.xlsx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Ashby-Larrabee</dc:creator>
  <cp:lastModifiedBy>Suzette Ashby-Larrabee</cp:lastModifiedBy>
  <cp:revision>2</cp:revision>
  <dcterms:created xsi:type="dcterms:W3CDTF">2013-06-15T01:02:00Z</dcterms:created>
  <dcterms:modified xsi:type="dcterms:W3CDTF">2013-06-15T01:02:00Z</dcterms:modified>
</cp:coreProperties>
</file>