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bookmarkStart w:id="0" w:name="_GoBack"/>
      <w:bookmarkEnd w:id="0"/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5744845</wp:posOffset>
            </wp:positionH>
            <wp:positionV relativeFrom="paragraph">
              <wp:posOffset>-146050</wp:posOffset>
            </wp:positionV>
            <wp:extent cx="1321435" cy="1677670"/>
            <wp:effectExtent l="0" t="0" r="0" b="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19BB7E" wp14:editId="6A3A7BC8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E309A6" w:rsidRPr="0001733A">
        <w:rPr>
          <w:rFonts w:ascii="Copperplate Gothic Bold" w:hAnsi="Copperplate Gothic Bold"/>
          <w:i/>
        </w:rPr>
        <w:t>A</w:t>
      </w:r>
      <w:r w:rsidR="00E309A6">
        <w:rPr>
          <w:rFonts w:ascii="Copperplate Gothic Bold" w:hAnsi="Copperplate Gothic Bold"/>
          <w:i/>
        </w:rPr>
        <w:t>p</w:t>
      </w:r>
      <w:r w:rsidR="00E309A6" w:rsidRPr="0001733A">
        <w:rPr>
          <w:rFonts w:ascii="Copperplate Gothic Bold" w:hAnsi="Copperplate Gothic Bold"/>
          <w:i/>
        </w:rPr>
        <w:t>ril</w:t>
      </w:r>
      <w:r w:rsidRPr="0001733A">
        <w:rPr>
          <w:rFonts w:ascii="Copperplate Gothic Bold" w:hAnsi="Copperplate Gothic Bold"/>
          <w:i/>
        </w:rPr>
        <w:t xml:space="preserve"> 2013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8B89" wp14:editId="3014E57B">
                <wp:simplePos x="0" y="0"/>
                <wp:positionH relativeFrom="column">
                  <wp:posOffset>77470</wp:posOffset>
                </wp:positionH>
                <wp:positionV relativeFrom="paragraph">
                  <wp:posOffset>224902</wp:posOffset>
                </wp:positionV>
                <wp:extent cx="6477000" cy="3019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3A" w:rsidRPr="005703B4" w:rsidRDefault="0001733A" w:rsidP="0001733A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703B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eFECS</w:t>
                            </w:r>
                            <w:proofErr w:type="gramEnd"/>
                            <w:r w:rsidRPr="005703B4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Enhancements Assist Departments in FEC Review</w:t>
                            </w:r>
                          </w:p>
                          <w:p w:rsidR="0001733A" w:rsidRPr="0001733A" w:rsidRDefault="0001733A" w:rsidP="0001733A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01733A">
                              <w:rPr>
                                <w:rFonts w:ascii="Verdana" w:hAnsi="Verdana"/>
                              </w:rPr>
                              <w:t xml:space="preserve">Enhancements to the electronic Faculty Effort Certification and Cost Share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   </w:t>
                            </w:r>
                            <w:r w:rsidRPr="0001733A">
                              <w:rPr>
                                <w:rFonts w:ascii="Verdana" w:hAnsi="Verdana"/>
                              </w:rPr>
                              <w:t>system (</w:t>
                            </w:r>
                            <w:r w:rsidR="009A4CCC">
                              <w:rPr>
                                <w:rFonts w:ascii="Verdana" w:hAnsi="Verdana"/>
                              </w:rPr>
                              <w:t>“</w:t>
                            </w:r>
                            <w:r w:rsidRPr="0001733A">
                              <w:rPr>
                                <w:rFonts w:ascii="Verdana" w:hAnsi="Verdana"/>
                              </w:rPr>
                              <w:t>eFECS</w:t>
                            </w:r>
                            <w:r w:rsidR="009A4CCC">
                              <w:rPr>
                                <w:rFonts w:ascii="Verdana" w:hAnsi="Verdana"/>
                              </w:rPr>
                              <w:t>”</w:t>
                            </w:r>
                            <w:r w:rsidRPr="0001733A">
                              <w:rPr>
                                <w:rFonts w:ascii="Verdana" w:hAnsi="Verdana"/>
                              </w:rPr>
                              <w:t xml:space="preserve">) provide campus with additional tools to review effort reports. </w:t>
                            </w:r>
                          </w:p>
                          <w:p w:rsidR="0001733A" w:rsidRPr="0001733A" w:rsidRDefault="0001733A" w:rsidP="0001733A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01733A">
                              <w:rPr>
                                <w:rFonts w:ascii="Verdana" w:hAnsi="Verdana"/>
                              </w:rPr>
                              <w:t>Available with the 9/1</w:t>
                            </w:r>
                            <w:r w:rsidRPr="00983910">
                              <w:rPr>
                                <w:rFonts w:ascii="Verdana" w:hAnsi="Verdana"/>
                              </w:rPr>
                              <w:t>6</w:t>
                            </w:r>
                            <w:r w:rsidR="009A4CCC" w:rsidRPr="00983910">
                              <w:rPr>
                                <w:rFonts w:ascii="Verdana" w:hAnsi="Verdana"/>
                              </w:rPr>
                              <w:t>/</w:t>
                            </w:r>
                            <w:r w:rsidRPr="0001733A">
                              <w:rPr>
                                <w:rFonts w:ascii="Verdana" w:hAnsi="Verdana"/>
                              </w:rPr>
                              <w:t>2012 to 3/15/2013 FECs, departments will see 2 additional columns on the MyFaculty List.  The column marked “C” will indicate that the faculty owes salary cap cost sharing; the column “CS” indicates the faculty has committed cost sharing.</w:t>
                            </w:r>
                          </w:p>
                          <w:p w:rsidR="0001733A" w:rsidRPr="0001733A" w:rsidRDefault="00FB3CA4" w:rsidP="0001733A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For</w:t>
                            </w:r>
                            <w:r w:rsidR="0001733A" w:rsidRPr="0001733A">
                              <w:rPr>
                                <w:rFonts w:ascii="Verdana" w:hAnsi="Verdana"/>
                              </w:rPr>
                              <w:t xml:space="preserve"> cycles with Certified FECs, a </w:t>
                            </w:r>
                            <w:r w:rsidR="009A4CCC">
                              <w:rPr>
                                <w:rFonts w:ascii="Verdana" w:hAnsi="Verdana"/>
                              </w:rPr>
                              <w:t xml:space="preserve">new </w:t>
                            </w:r>
                            <w:r w:rsidR="0001733A" w:rsidRPr="0001733A">
                              <w:rPr>
                                <w:rFonts w:ascii="Verdana" w:hAnsi="Verdana"/>
                              </w:rPr>
                              <w:t xml:space="preserve">link below the Print button “View FEC with post certification changes for recertification analysis” displays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revised information if there were </w:t>
                            </w:r>
                            <w:r w:rsidR="0001733A" w:rsidRPr="0001733A">
                              <w:rPr>
                                <w:rFonts w:ascii="Verdana" w:hAnsi="Verdana"/>
                              </w:rPr>
                              <w:t xml:space="preserve">changes made after the FEC was certified. This </w:t>
                            </w:r>
                            <w:r w:rsidR="009A4CCC">
                              <w:rPr>
                                <w:rFonts w:ascii="Verdana" w:hAnsi="Verdana"/>
                              </w:rPr>
                              <w:t xml:space="preserve">enhancement </w:t>
                            </w:r>
                            <w:r w:rsidR="0001733A" w:rsidRPr="0001733A">
                              <w:rPr>
                                <w:rFonts w:ascii="Verdana" w:hAnsi="Verdana"/>
                              </w:rPr>
                              <w:t xml:space="preserve">provides departments </w:t>
                            </w:r>
                            <w:r w:rsidR="009A4CCC">
                              <w:rPr>
                                <w:rFonts w:ascii="Verdana" w:hAnsi="Verdana"/>
                              </w:rPr>
                              <w:t xml:space="preserve">an </w:t>
                            </w:r>
                            <w:r w:rsidR="00983910">
                              <w:rPr>
                                <w:rFonts w:ascii="Verdana" w:hAnsi="Verdana"/>
                              </w:rPr>
                              <w:t xml:space="preserve">opportunity </w:t>
                            </w:r>
                            <w:r w:rsidR="00983910" w:rsidRPr="0001733A">
                              <w:rPr>
                                <w:rFonts w:ascii="Verdana" w:hAnsi="Verdana"/>
                              </w:rPr>
                              <w:t>to</w:t>
                            </w:r>
                            <w:r w:rsidR="0001733A" w:rsidRPr="0001733A">
                              <w:rPr>
                                <w:rFonts w:ascii="Verdana" w:hAnsi="Verdana"/>
                              </w:rPr>
                              <w:t xml:space="preserve"> determine if an FEC needs to be recertified. If no changes have been made, the two FECs will be the same. 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01733A" w:rsidRDefault="00017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17.7pt;width:510pt;height:2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" stroked="f">
                <v:textbox>
                  <w:txbxContent>
                    <w:p w:rsidR="0001733A" w:rsidRPr="005703B4" w:rsidRDefault="0001733A" w:rsidP="0001733A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5703B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eFECS</w:t>
                      </w:r>
                      <w:proofErr w:type="gramEnd"/>
                      <w:r w:rsidRPr="005703B4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Enhancements Assist Departments in FEC Review</w:t>
                      </w:r>
                    </w:p>
                    <w:p w:rsidR="0001733A" w:rsidRPr="0001733A" w:rsidRDefault="0001733A" w:rsidP="0001733A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01733A">
                        <w:rPr>
                          <w:rFonts w:ascii="Verdana" w:hAnsi="Verdana"/>
                        </w:rPr>
                        <w:t xml:space="preserve">Enhancements to the electronic Faculty Effort Certification and Cost Share </w:t>
                      </w:r>
                      <w:r>
                        <w:rPr>
                          <w:rFonts w:ascii="Verdana" w:hAnsi="Verdana"/>
                        </w:rPr>
                        <w:t xml:space="preserve">               </w:t>
                      </w:r>
                      <w:r w:rsidRPr="0001733A">
                        <w:rPr>
                          <w:rFonts w:ascii="Verdana" w:hAnsi="Verdana"/>
                        </w:rPr>
                        <w:t>system (</w:t>
                      </w:r>
                      <w:r w:rsidR="009A4CCC">
                        <w:rPr>
                          <w:rFonts w:ascii="Verdana" w:hAnsi="Verdana"/>
                        </w:rPr>
                        <w:t>“</w:t>
                      </w:r>
                      <w:r w:rsidRPr="0001733A">
                        <w:rPr>
                          <w:rFonts w:ascii="Verdana" w:hAnsi="Verdana"/>
                        </w:rPr>
                        <w:t>eFECS</w:t>
                      </w:r>
                      <w:r w:rsidR="009A4CCC">
                        <w:rPr>
                          <w:rFonts w:ascii="Verdana" w:hAnsi="Verdana"/>
                        </w:rPr>
                        <w:t>”</w:t>
                      </w:r>
                      <w:r w:rsidRPr="0001733A">
                        <w:rPr>
                          <w:rFonts w:ascii="Verdana" w:hAnsi="Verdana"/>
                        </w:rPr>
                        <w:t xml:space="preserve">) provide campus with additional tools to review effort reports. </w:t>
                      </w:r>
                    </w:p>
                    <w:p w:rsidR="0001733A" w:rsidRPr="0001733A" w:rsidRDefault="0001733A" w:rsidP="0001733A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01733A">
                        <w:rPr>
                          <w:rFonts w:ascii="Verdana" w:hAnsi="Verdana"/>
                        </w:rPr>
                        <w:t>Available with the 9/1</w:t>
                      </w:r>
                      <w:r w:rsidRPr="00983910">
                        <w:rPr>
                          <w:rFonts w:ascii="Verdana" w:hAnsi="Verdana"/>
                        </w:rPr>
                        <w:t>6</w:t>
                      </w:r>
                      <w:r w:rsidR="009A4CCC" w:rsidRPr="00983910">
                        <w:rPr>
                          <w:rFonts w:ascii="Verdana" w:hAnsi="Verdana"/>
                        </w:rPr>
                        <w:t>/</w:t>
                      </w:r>
                      <w:r w:rsidRPr="0001733A">
                        <w:rPr>
                          <w:rFonts w:ascii="Verdana" w:hAnsi="Verdana"/>
                        </w:rPr>
                        <w:t>2012 to 3/15/2013 FECs, departments will see 2 additional columns on the MyFaculty List.  The column marked “C” will indicate that the faculty owes salary cap cost sharing; the column “CS” indicates the faculty has committed cost sharing.</w:t>
                      </w:r>
                    </w:p>
                    <w:p w:rsidR="0001733A" w:rsidRPr="0001733A" w:rsidRDefault="00FB3CA4" w:rsidP="0001733A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For</w:t>
                      </w:r>
                      <w:r w:rsidR="0001733A" w:rsidRPr="0001733A">
                        <w:rPr>
                          <w:rFonts w:ascii="Verdana" w:hAnsi="Verdana"/>
                        </w:rPr>
                        <w:t xml:space="preserve"> cycles with Certified FECs, a </w:t>
                      </w:r>
                      <w:r w:rsidR="009A4CCC">
                        <w:rPr>
                          <w:rFonts w:ascii="Verdana" w:hAnsi="Verdana"/>
                        </w:rPr>
                        <w:t xml:space="preserve">new </w:t>
                      </w:r>
                      <w:r w:rsidR="0001733A" w:rsidRPr="0001733A">
                        <w:rPr>
                          <w:rFonts w:ascii="Verdana" w:hAnsi="Verdana"/>
                        </w:rPr>
                        <w:t xml:space="preserve">link below the Print button “View FEC with post certification changes for recertification analysis” displays </w:t>
                      </w:r>
                      <w:r>
                        <w:rPr>
                          <w:rFonts w:ascii="Verdana" w:hAnsi="Verdana"/>
                        </w:rPr>
                        <w:t xml:space="preserve">revised information if there were </w:t>
                      </w:r>
                      <w:r w:rsidR="0001733A" w:rsidRPr="0001733A">
                        <w:rPr>
                          <w:rFonts w:ascii="Verdana" w:hAnsi="Verdana"/>
                        </w:rPr>
                        <w:t xml:space="preserve">changes made after the FEC was certified. This </w:t>
                      </w:r>
                      <w:r w:rsidR="009A4CCC">
                        <w:rPr>
                          <w:rFonts w:ascii="Verdana" w:hAnsi="Verdana"/>
                        </w:rPr>
                        <w:t xml:space="preserve">enhancement </w:t>
                      </w:r>
                      <w:r w:rsidR="0001733A" w:rsidRPr="0001733A">
                        <w:rPr>
                          <w:rFonts w:ascii="Verdana" w:hAnsi="Verdana"/>
                        </w:rPr>
                        <w:t xml:space="preserve">provides departments </w:t>
                      </w:r>
                      <w:r w:rsidR="009A4CCC">
                        <w:rPr>
                          <w:rFonts w:ascii="Verdana" w:hAnsi="Verdana"/>
                        </w:rPr>
                        <w:t xml:space="preserve">an </w:t>
                      </w:r>
                      <w:r w:rsidR="00983910">
                        <w:rPr>
                          <w:rFonts w:ascii="Verdana" w:hAnsi="Verdana"/>
                        </w:rPr>
                        <w:t xml:space="preserve">opportunity </w:t>
                      </w:r>
                      <w:r w:rsidR="00983910" w:rsidRPr="0001733A">
                        <w:rPr>
                          <w:rFonts w:ascii="Verdana" w:hAnsi="Verdana"/>
                        </w:rPr>
                        <w:t>to</w:t>
                      </w:r>
                      <w:r w:rsidR="0001733A" w:rsidRPr="0001733A">
                        <w:rPr>
                          <w:rFonts w:ascii="Verdana" w:hAnsi="Verdana"/>
                        </w:rPr>
                        <w:t xml:space="preserve"> determine if an FEC needs to be recertified. If no changes have been made, the two FECs will be the same. </w:t>
                      </w:r>
                    </w:p>
                    <w:p w:rsidR="0001733A" w:rsidRDefault="0001733A" w:rsidP="0001733A">
                      <w:pPr>
                        <w:widowControl w:val="0"/>
                      </w:pPr>
                      <w:r>
                        <w:t> </w:t>
                      </w:r>
                    </w:p>
                    <w:p w:rsidR="0001733A" w:rsidRDefault="0001733A" w:rsidP="0001733A">
                      <w:pPr>
                        <w:widowControl w:val="0"/>
                      </w:pPr>
                      <w:r>
                        <w:t> </w:t>
                      </w:r>
                    </w:p>
                    <w:p w:rsidR="0001733A" w:rsidRDefault="0001733A" w:rsidP="0001733A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</w:p>
                    <w:p w:rsidR="0001733A" w:rsidRDefault="0001733A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FD7735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B11C6" wp14:editId="386597DF">
                <wp:simplePos x="0" y="0"/>
                <wp:positionH relativeFrom="column">
                  <wp:posOffset>151130</wp:posOffset>
                </wp:positionH>
                <wp:positionV relativeFrom="paragraph">
                  <wp:posOffset>127747</wp:posOffset>
                </wp:positionV>
                <wp:extent cx="6467475" cy="13620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35" w:rsidRPr="005703B4" w:rsidRDefault="00FD7735" w:rsidP="005703B4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SAGE Release Includes Administrative Supplements in IBS</w:t>
                            </w:r>
                          </w:p>
                          <w:p w:rsidR="00FD7735" w:rsidRPr="00FD7735" w:rsidRDefault="00FD7735" w:rsidP="00FD7735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FD7735">
                              <w:rPr>
                                <w:rFonts w:ascii="Verdana" w:hAnsi="Verdana"/>
                              </w:rPr>
                              <w:t xml:space="preserve">If Administrative or Endowed Supplements (ADS/ENS) are associated </w:t>
                            </w:r>
                            <w:r w:rsidR="00FB3CA4">
                              <w:rPr>
                                <w:rFonts w:ascii="Verdana" w:hAnsi="Verdana"/>
                              </w:rPr>
                              <w:t xml:space="preserve">with </w:t>
                            </w:r>
                            <w:r w:rsidRPr="00FD7735">
                              <w:rPr>
                                <w:rFonts w:ascii="Verdana" w:hAnsi="Verdana"/>
                              </w:rPr>
                              <w:t>a person in the source system, the earn types and values will be displayed. SAGE allows de-selection of these earn types. De-selection is only appropriate where it is known the individual will not be receiving the deselected earn type when the proposal is awarded</w:t>
                            </w:r>
                            <w:r w:rsidR="00FB3CA4">
                              <w:rPr>
                                <w:rFonts w:ascii="Verdana" w:hAnsi="Verdana"/>
                              </w:rPr>
                              <w:t xml:space="preserve"> or if they currently are not receiving them but will be when the award is received</w:t>
                            </w:r>
                            <w:r w:rsidRPr="00FD7735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 w:rsidR="00FD7735" w:rsidRDefault="00FD7735" w:rsidP="00FD7735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D7735" w:rsidRDefault="00FD7735" w:rsidP="00FD7735">
                            <w:pPr>
                              <w:widowControl w:val="0"/>
                            </w:pPr>
                          </w:p>
                          <w:p w:rsidR="00FD7735" w:rsidRDefault="00FD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9pt;margin-top:10.05pt;width:509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" stroked="f">
                <v:textbox>
                  <w:txbxContent>
                    <w:p w:rsidR="00FD7735" w:rsidRPr="005703B4" w:rsidRDefault="00FD7735" w:rsidP="005703B4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>SAGE Release Includes Administrative Supplements in IBS</w:t>
                      </w:r>
                    </w:p>
                    <w:p w:rsidR="00FD7735" w:rsidRPr="00FD7735" w:rsidRDefault="00FD7735" w:rsidP="00FD7735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FD7735">
                        <w:rPr>
                          <w:rFonts w:ascii="Verdana" w:hAnsi="Verdana"/>
                        </w:rPr>
                        <w:t xml:space="preserve">If Administrative or Endowed Supplements (ADS/ENS) are associated </w:t>
                      </w:r>
                      <w:r w:rsidR="00FB3CA4">
                        <w:rPr>
                          <w:rFonts w:ascii="Verdana" w:hAnsi="Verdana"/>
                        </w:rPr>
                        <w:t xml:space="preserve">with </w:t>
                      </w:r>
                      <w:r w:rsidRPr="00FD7735">
                        <w:rPr>
                          <w:rFonts w:ascii="Verdana" w:hAnsi="Verdana"/>
                        </w:rPr>
                        <w:t>a person in the source system, the earn types and values will be displayed. SAGE allows de-selection of these earn types. De-selection is only appropriate where it is known the individual will not be receiving the deselected earn type when the proposal is awarded</w:t>
                      </w:r>
                      <w:r w:rsidR="00FB3CA4">
                        <w:rPr>
                          <w:rFonts w:ascii="Verdana" w:hAnsi="Verdana"/>
                        </w:rPr>
                        <w:t xml:space="preserve"> or if they currently are not receiving them but will be when the award is received</w:t>
                      </w:r>
                      <w:r w:rsidRPr="00FD7735">
                        <w:rPr>
                          <w:rFonts w:ascii="Verdana" w:hAnsi="Verdana"/>
                        </w:rPr>
                        <w:t xml:space="preserve">. </w:t>
                      </w:r>
                    </w:p>
                    <w:p w:rsidR="00FD7735" w:rsidRDefault="00FD7735" w:rsidP="00FD7735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FD7735" w:rsidRDefault="00FD7735" w:rsidP="00FD7735">
                      <w:pPr>
                        <w:widowControl w:val="0"/>
                      </w:pPr>
                    </w:p>
                    <w:p w:rsidR="00FD7735" w:rsidRDefault="00FD7735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83857" wp14:editId="39262EEF">
                <wp:simplePos x="0" y="0"/>
                <wp:positionH relativeFrom="column">
                  <wp:posOffset>3263202</wp:posOffset>
                </wp:positionH>
                <wp:positionV relativeFrom="paragraph">
                  <wp:posOffset>265549</wp:posOffset>
                </wp:positionV>
                <wp:extent cx="3292196" cy="3303905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196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B4" w:rsidRPr="005703B4" w:rsidRDefault="0014381C" w:rsidP="005703B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Using </w:t>
                            </w:r>
                            <w:r w:rsidR="00F30325"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a </w:t>
                            </w:r>
                            <w:r w:rsidR="00D93317" w:rsidRPr="00D93317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Non-Federal </w:t>
                            </w:r>
                            <w:r w:rsidR="00F30325"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Budget</w:t>
                            </w: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as </w:t>
                            </w:r>
                          </w:p>
                          <w:p w:rsidR="0014381C" w:rsidRPr="005703B4" w:rsidRDefault="0014381C" w:rsidP="005703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proofErr w:type="gramStart"/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</w:t>
                            </w:r>
                            <w:proofErr w:type="gramEnd"/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r w:rsidR="00F30325"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Source for </w:t>
                            </w: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Cost Shar</w:t>
                            </w:r>
                            <w:r w:rsidR="00F30325"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ing</w:t>
                            </w:r>
                          </w:p>
                          <w:p w:rsidR="0014381C" w:rsidRP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</w:rPr>
                              <w:t xml:space="preserve">Follow these steps to ensure compliance when using a </w:t>
                            </w:r>
                            <w:r w:rsidR="00D93317">
                              <w:rPr>
                                <w:rFonts w:ascii="Verdana" w:hAnsi="Verdana"/>
                              </w:rPr>
                              <w:t>non-federal</w:t>
                            </w:r>
                            <w:r w:rsidR="00D93317">
                              <w:rPr>
                                <w:rFonts w:ascii="Verdana" w:hAnsi="Verdana"/>
                                <w:color w:val="FF0000"/>
                              </w:rPr>
                              <w:t xml:space="preserve"> </w:t>
                            </w:r>
                            <w:r w:rsidRPr="0014381C">
                              <w:rPr>
                                <w:rFonts w:ascii="Verdana" w:hAnsi="Verdana"/>
                              </w:rPr>
                              <w:t xml:space="preserve">budget as cost share on a </w:t>
                            </w:r>
                            <w:r w:rsidR="00D93317">
                              <w:rPr>
                                <w:rFonts w:ascii="Verdana" w:hAnsi="Verdana"/>
                              </w:rPr>
                              <w:t>f</w:t>
                            </w:r>
                            <w:r w:rsidRPr="0014381C">
                              <w:rPr>
                                <w:rFonts w:ascii="Verdana" w:hAnsi="Verdana"/>
                              </w:rPr>
                              <w:t>ederal grant:</w:t>
                            </w:r>
                          </w:p>
                          <w:p w:rsidR="0014381C" w:rsidRPr="005703B4" w:rsidRDefault="0014381C" w:rsidP="005703B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</w:rPr>
                              <w:t xml:space="preserve">Ensure </w:t>
                            </w:r>
                            <w:r w:rsidRPr="00286054">
                              <w:rPr>
                                <w:rFonts w:ascii="Verdana" w:hAnsi="Verdana"/>
                                <w:u w:val="single"/>
                              </w:rPr>
                              <w:t>BOTH</w:t>
                            </w:r>
                            <w:r w:rsidRPr="005703B4">
                              <w:rPr>
                                <w:rFonts w:ascii="Verdana" w:hAnsi="Verdana"/>
                              </w:rPr>
                              <w:t xml:space="preserve"> sponsors have approved the arrangement in writing.</w:t>
                            </w:r>
                          </w:p>
                          <w:p w:rsidR="005703B4" w:rsidRPr="005703B4" w:rsidRDefault="0014381C" w:rsidP="005703B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</w:rPr>
                              <w:t xml:space="preserve">Keep </w:t>
                            </w:r>
                            <w:r w:rsidRPr="00286054">
                              <w:rPr>
                                <w:rFonts w:ascii="Verdana" w:hAnsi="Verdana"/>
                                <w:u w:val="single"/>
                              </w:rPr>
                              <w:t>written</w:t>
                            </w:r>
                            <w:r w:rsidRPr="005703B4">
                              <w:rPr>
                                <w:rFonts w:ascii="Verdana" w:hAnsi="Verdana"/>
                              </w:rPr>
                              <w:t xml:space="preserve"> confirmation in department files.</w:t>
                            </w:r>
                          </w:p>
                          <w:p w:rsidR="0014381C" w:rsidRPr="005703B4" w:rsidRDefault="0014381C" w:rsidP="005703B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</w:rPr>
                              <w:t xml:space="preserve">Also </w:t>
                            </w:r>
                            <w:r w:rsidR="005703B4" w:rsidRPr="005703B4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Pr="005703B4">
                              <w:rPr>
                                <w:rFonts w:ascii="Verdana" w:hAnsi="Verdana"/>
                              </w:rPr>
                              <w:t>obtain written approval</w:t>
                            </w:r>
                            <w:r w:rsidR="00F30325" w:rsidRPr="005703B4">
                              <w:rPr>
                                <w:rFonts w:ascii="Verdana" w:hAnsi="Verdana"/>
                              </w:rPr>
                              <w:t xml:space="preserve"> in the </w:t>
                            </w:r>
                            <w:r w:rsidRPr="005703B4">
                              <w:rPr>
                                <w:rFonts w:ascii="Verdana" w:hAnsi="Verdana"/>
                              </w:rPr>
                              <w:t>rare instances where a federal project provides cost sharing to another federal project.</w:t>
                            </w:r>
                          </w:p>
                          <w:p w:rsidR="0014381C" w:rsidRPr="00F30325" w:rsidRDefault="0014381C" w:rsidP="00F30325">
                            <w:pPr>
                              <w:widowControl w:val="0"/>
                              <w:spacing w:line="273" w:lineRule="auto"/>
                            </w:pP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95pt;margin-top:20.9pt;width:259.25pt;height:26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" stroked="f">
                <v:textbox>
                  <w:txbxContent>
                    <w:p w:rsidR="005703B4" w:rsidRPr="005703B4" w:rsidRDefault="0014381C" w:rsidP="005703B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Using </w:t>
                      </w:r>
                      <w:r w:rsidR="00F30325"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a </w:t>
                      </w:r>
                      <w:r w:rsidR="00D93317" w:rsidRPr="00D93317">
                        <w:rPr>
                          <w:rFonts w:ascii="Verdana" w:hAnsi="Verdana"/>
                          <w:b/>
                          <w:sz w:val="28"/>
                        </w:rPr>
                        <w:t xml:space="preserve">Non-Federal </w:t>
                      </w:r>
                      <w:r w:rsidR="00F30325" w:rsidRPr="005703B4">
                        <w:rPr>
                          <w:rFonts w:ascii="Verdana" w:hAnsi="Verdana"/>
                          <w:b/>
                          <w:sz w:val="28"/>
                        </w:rPr>
                        <w:t>Budget</w:t>
                      </w: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as </w:t>
                      </w:r>
                    </w:p>
                    <w:p w:rsidR="0014381C" w:rsidRPr="005703B4" w:rsidRDefault="0014381C" w:rsidP="005703B4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proofErr w:type="gramStart"/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>a</w:t>
                      </w:r>
                      <w:proofErr w:type="gramEnd"/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r w:rsidR="00F30325"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Source for </w:t>
                      </w: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>Cost Shar</w:t>
                      </w:r>
                      <w:r w:rsidR="00F30325" w:rsidRPr="005703B4">
                        <w:rPr>
                          <w:rFonts w:ascii="Verdana" w:hAnsi="Verdana"/>
                          <w:b/>
                          <w:sz w:val="28"/>
                        </w:rPr>
                        <w:t>ing</w:t>
                      </w:r>
                    </w:p>
                    <w:p w:rsidR="0014381C" w:rsidRP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 w:rsidRPr="0014381C">
                        <w:rPr>
                          <w:rFonts w:ascii="Verdana" w:hAnsi="Verdana"/>
                        </w:rPr>
                        <w:t xml:space="preserve">Follow these steps to ensure compliance when using a </w:t>
                      </w:r>
                      <w:r w:rsidR="00D93317">
                        <w:rPr>
                          <w:rFonts w:ascii="Verdana" w:hAnsi="Verdana"/>
                        </w:rPr>
                        <w:t>non-federal</w:t>
                      </w:r>
                      <w:r w:rsidR="00D93317">
                        <w:rPr>
                          <w:rFonts w:ascii="Verdana" w:hAnsi="Verdana"/>
                          <w:color w:val="FF0000"/>
                        </w:rPr>
                        <w:t xml:space="preserve"> </w:t>
                      </w:r>
                      <w:r w:rsidRPr="0014381C">
                        <w:rPr>
                          <w:rFonts w:ascii="Verdana" w:hAnsi="Verdana"/>
                        </w:rPr>
                        <w:t xml:space="preserve">budget as cost share on a </w:t>
                      </w:r>
                      <w:r w:rsidR="00D93317">
                        <w:rPr>
                          <w:rFonts w:ascii="Verdana" w:hAnsi="Verdana"/>
                        </w:rPr>
                        <w:t>f</w:t>
                      </w:r>
                      <w:r w:rsidRPr="0014381C">
                        <w:rPr>
                          <w:rFonts w:ascii="Verdana" w:hAnsi="Verdana"/>
                        </w:rPr>
                        <w:t>ederal grant:</w:t>
                      </w:r>
                    </w:p>
                    <w:p w:rsidR="0014381C" w:rsidRPr="005703B4" w:rsidRDefault="0014381C" w:rsidP="005703B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</w:rPr>
                      </w:pPr>
                      <w:r w:rsidRPr="005703B4">
                        <w:rPr>
                          <w:rFonts w:ascii="Verdana" w:hAnsi="Verdana"/>
                        </w:rPr>
                        <w:t xml:space="preserve">Ensure </w:t>
                      </w:r>
                      <w:r w:rsidRPr="00286054">
                        <w:rPr>
                          <w:rFonts w:ascii="Verdana" w:hAnsi="Verdana"/>
                          <w:u w:val="single"/>
                        </w:rPr>
                        <w:t>BOTH</w:t>
                      </w:r>
                      <w:r w:rsidRPr="005703B4">
                        <w:rPr>
                          <w:rFonts w:ascii="Verdana" w:hAnsi="Verdana"/>
                        </w:rPr>
                        <w:t xml:space="preserve"> sponsors have approved the arrangement in writing.</w:t>
                      </w:r>
                    </w:p>
                    <w:p w:rsidR="005703B4" w:rsidRPr="005703B4" w:rsidRDefault="0014381C" w:rsidP="005703B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</w:rPr>
                      </w:pPr>
                      <w:r w:rsidRPr="005703B4">
                        <w:rPr>
                          <w:rFonts w:ascii="Verdana" w:hAnsi="Verdana"/>
                        </w:rPr>
                        <w:t xml:space="preserve">Keep </w:t>
                      </w:r>
                      <w:r w:rsidRPr="00286054">
                        <w:rPr>
                          <w:rFonts w:ascii="Verdana" w:hAnsi="Verdana"/>
                          <w:u w:val="single"/>
                        </w:rPr>
                        <w:t>written</w:t>
                      </w:r>
                      <w:r w:rsidRPr="005703B4">
                        <w:rPr>
                          <w:rFonts w:ascii="Verdana" w:hAnsi="Verdana"/>
                        </w:rPr>
                        <w:t xml:space="preserve"> confirmation in department files.</w:t>
                      </w:r>
                    </w:p>
                    <w:p w:rsidR="0014381C" w:rsidRPr="005703B4" w:rsidRDefault="0014381C" w:rsidP="005703B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</w:rPr>
                      </w:pPr>
                      <w:r w:rsidRPr="005703B4">
                        <w:rPr>
                          <w:rFonts w:ascii="Verdana" w:hAnsi="Verdana"/>
                        </w:rPr>
                        <w:t xml:space="preserve">Also </w:t>
                      </w:r>
                      <w:r w:rsidR="005703B4" w:rsidRPr="005703B4">
                        <w:rPr>
                          <w:rFonts w:ascii="Verdana" w:hAnsi="Verdana"/>
                        </w:rPr>
                        <w:t xml:space="preserve">- </w:t>
                      </w:r>
                      <w:r w:rsidRPr="005703B4">
                        <w:rPr>
                          <w:rFonts w:ascii="Verdana" w:hAnsi="Verdana"/>
                        </w:rPr>
                        <w:t>obtain written approval</w:t>
                      </w:r>
                      <w:r w:rsidR="00F30325" w:rsidRPr="005703B4">
                        <w:rPr>
                          <w:rFonts w:ascii="Verdana" w:hAnsi="Verdana"/>
                        </w:rPr>
                        <w:t xml:space="preserve"> in the </w:t>
                      </w:r>
                      <w:r w:rsidRPr="005703B4">
                        <w:rPr>
                          <w:rFonts w:ascii="Verdana" w:hAnsi="Verdana"/>
                        </w:rPr>
                        <w:t>rare instances where a federal project provides cost sharing to another federal project.</w:t>
                      </w:r>
                    </w:p>
                    <w:p w:rsidR="0014381C" w:rsidRPr="00F30325" w:rsidRDefault="0014381C" w:rsidP="00F30325">
                      <w:pPr>
                        <w:widowControl w:val="0"/>
                        <w:spacing w:line="273" w:lineRule="auto"/>
                      </w:pP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  <w:r>
                        <w:t> 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1"/>
                          <w:szCs w:val="20"/>
                        </w:rPr>
                      </w:pP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A0DC1" wp14:editId="496E6C25">
                <wp:simplePos x="0" y="0"/>
                <wp:positionH relativeFrom="column">
                  <wp:posOffset>248697</wp:posOffset>
                </wp:positionH>
                <wp:positionV relativeFrom="paragraph">
                  <wp:posOffset>10355</wp:posOffset>
                </wp:positionV>
                <wp:extent cx="2853732" cy="2481580"/>
                <wp:effectExtent l="57150" t="57150" r="118110" b="1092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732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5703B4" w:rsidRDefault="0014381C" w:rsidP="001438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April – May</w:t>
                            </w:r>
                          </w:p>
                          <w:p w:rsidR="0014381C" w:rsidRP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14381C">
                              <w:t> Introduction to Grant and Contract Accounting</w:t>
                            </w:r>
                          </w:p>
                          <w:p w:rsidR="0014381C" w:rsidRP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14381C">
                              <w:t> Introduction to Faculty Effort Certification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14381C">
                              <w:t> eFECS for FEC Coordinators</w:t>
                            </w:r>
                          </w:p>
                          <w:p w:rsidR="005703B4" w:rsidRPr="0014381C" w:rsidRDefault="005703B4" w:rsidP="0014381C">
                            <w:pPr>
                              <w:widowControl w:val="0"/>
                              <w:spacing w:after="0"/>
                              <w:ind w:left="360" w:hanging="360"/>
                            </w:pPr>
                          </w:p>
                          <w:p w:rsidR="0014381C" w:rsidRPr="005703B4" w:rsidRDefault="0014381C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Cs w:val="22"/>
                                <w14:ligatures w14:val="none"/>
                              </w:rPr>
                            </w:pPr>
                            <w:r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7" w:history="1">
                              <w:r w:rsidR="005703B4" w:rsidRPr="00AB535C">
                                <w:rPr>
                                  <w:rStyle w:val="Hyperlink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 w:rsidR="005703B4">
                              <w:rPr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6pt;margin-top:.8pt;width:224.7pt;height:19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5703B4" w:rsidRDefault="0014381C" w:rsidP="0014381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     </w:t>
                      </w: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>April – May</w:t>
                      </w:r>
                    </w:p>
                    <w:p w:rsidR="0014381C" w:rsidRPr="0014381C" w:rsidRDefault="0014381C" w:rsidP="0014381C">
                      <w:pPr>
                        <w:widowControl w:val="0"/>
                        <w:spacing w:after="0"/>
                        <w:ind w:left="360" w:hanging="360"/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14381C">
                        <w:t> Introduction to Grant and Contract Accounting</w:t>
                      </w:r>
                    </w:p>
                    <w:p w:rsidR="0014381C" w:rsidRPr="0014381C" w:rsidRDefault="0014381C" w:rsidP="0014381C">
                      <w:pPr>
                        <w:widowControl w:val="0"/>
                        <w:spacing w:after="0"/>
                        <w:ind w:left="360" w:hanging="360"/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14381C">
                        <w:t> Introduction to Faculty Effort Certification</w:t>
                      </w:r>
                    </w:p>
                    <w:p w:rsidR="0014381C" w:rsidRDefault="0014381C" w:rsidP="0014381C">
                      <w:pPr>
                        <w:widowControl w:val="0"/>
                        <w:spacing w:after="0"/>
                        <w:ind w:left="360" w:hanging="360"/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14381C">
                        <w:t> eFECS for FEC Coordinators</w:t>
                      </w:r>
                    </w:p>
                    <w:p w:rsidR="005703B4" w:rsidRPr="0014381C" w:rsidRDefault="005703B4" w:rsidP="0014381C">
                      <w:pPr>
                        <w:widowControl w:val="0"/>
                        <w:spacing w:after="0"/>
                        <w:ind w:left="360" w:hanging="360"/>
                      </w:pPr>
                    </w:p>
                    <w:p w:rsidR="0014381C" w:rsidRPr="005703B4" w:rsidRDefault="0014381C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Cs w:val="22"/>
                          <w14:ligatures w14:val="none"/>
                        </w:rPr>
                      </w:pPr>
                      <w:r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8" w:history="1">
                        <w:r w:rsidR="005703B4" w:rsidRPr="00AB535C">
                          <w:rPr>
                            <w:rStyle w:val="Hyperlink"/>
                            <w:szCs w:val="22"/>
                            <w14:ligatures w14:val="none"/>
                          </w:rPr>
                          <w:t>http://www.washington.edu/research/index.php?page=os</w:t>
                        </w:r>
                        <w:r w:rsidR="005703B4" w:rsidRPr="00AB535C">
                          <w:rPr>
                            <w:rStyle w:val="Hyperlink"/>
                            <w:szCs w:val="22"/>
                            <w14:ligatures w14:val="none"/>
                          </w:rPr>
                          <w:t>p</w:t>
                        </w:r>
                        <w:r w:rsidR="005703B4" w:rsidRPr="00AB535C">
                          <w:rPr>
                            <w:rStyle w:val="Hyperlink"/>
                            <w:szCs w:val="22"/>
                            <w14:ligatures w14:val="none"/>
                          </w:rPr>
                          <w:t>Learning</w:t>
                        </w:r>
                      </w:hyperlink>
                      <w:r w:rsidR="005703B4">
                        <w:rPr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2C62D" wp14:editId="0B097914">
                <wp:simplePos x="0" y="0"/>
                <wp:positionH relativeFrom="column">
                  <wp:posOffset>1494692</wp:posOffset>
                </wp:positionH>
                <wp:positionV relativeFrom="paragraph">
                  <wp:posOffset>136078</wp:posOffset>
                </wp:positionV>
                <wp:extent cx="1271075" cy="1403985"/>
                <wp:effectExtent l="0" t="0" r="571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25" w:rsidRDefault="00F30325">
                            <w:r>
                              <w:t>When submitting a recertified FEC to MAA, change the status in eFECS to “Pending Recertification.”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10.7pt;width:100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MoIw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" stroked="f">
                <v:textbox style="mso-fit-shape-to-text:t">
                  <w:txbxContent>
                    <w:p w:rsidR="00F30325" w:rsidRDefault="00F30325">
                      <w:r>
                        <w:t>When submitting a recertified FEC to MAA, change the status in eFECS to “Pending Recertification.”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Default="00F30325" w:rsidP="00F30325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6A7BF" wp14:editId="340DF5B2">
                <wp:simplePos x="0" y="0"/>
                <wp:positionH relativeFrom="column">
                  <wp:posOffset>369277</wp:posOffset>
                </wp:positionH>
                <wp:positionV relativeFrom="paragraph">
                  <wp:posOffset>65740</wp:posOffset>
                </wp:positionV>
                <wp:extent cx="1235947" cy="1403985"/>
                <wp:effectExtent l="0" t="0" r="254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9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25" w:rsidRDefault="00F30325">
                            <w:r w:rsidRPr="00F30325">
                              <w:rPr>
                                <w:noProof/>
                              </w:rPr>
                              <w:drawing>
                                <wp:inline distT="0" distB="0" distL="0" distR="0" wp14:anchorId="32F1EB39" wp14:editId="05D9C965">
                                  <wp:extent cx="928687" cy="919162"/>
                                  <wp:effectExtent l="0" t="0" r="5080" b="0"/>
                                  <wp:docPr id="11" name="Picture 2" descr="C:\Users\suzette\AppData\Local\Microsoft\Windows\Temporary Internet Files\Content.IE5\87QDL50I\MC900442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C:\Users\suzette\AppData\Local\Microsoft\Windows\Temporary Internet Files\Content.IE5\87QDL50I\MC900442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687" cy="91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.1pt;margin-top:5.2pt;width:97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gIwIAACQ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" stroked="f">
                <v:textbox style="mso-fit-shape-to-text:t">
                  <w:txbxContent>
                    <w:p w:rsidR="00F30325" w:rsidRDefault="00F30325">
                      <w:r w:rsidRPr="00F30325">
                        <w:drawing>
                          <wp:inline distT="0" distB="0" distL="0" distR="0" wp14:anchorId="32F1EB39" wp14:editId="05D9C965">
                            <wp:extent cx="928687" cy="919162"/>
                            <wp:effectExtent l="0" t="0" r="5080" b="0"/>
                            <wp:docPr id="11" name="Picture 2" descr="C:\Users\suzette\AppData\Local\Microsoft\Windows\Temporary Internet Files\Content.IE5\87QDL50I\MC900442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C:\Users\suzette\AppData\Local\Microsoft\Windows\Temporary Internet Files\Content.IE5\87QDL50I\MC900442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687" cy="91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733A" w:rsidRPr="00F30325" w:rsidRDefault="00F30325" w:rsidP="00F30325">
      <w:pPr>
        <w:ind w:firstLine="720"/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861C1" wp14:editId="1B8B0B32">
                <wp:simplePos x="0" y="0"/>
                <wp:positionH relativeFrom="column">
                  <wp:posOffset>3007995</wp:posOffset>
                </wp:positionH>
                <wp:positionV relativeFrom="paragraph">
                  <wp:posOffset>216647</wp:posOffset>
                </wp:positionV>
                <wp:extent cx="3670300" cy="52387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523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C" w:rsidRPr="0014381C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Do you have questions or want someone to call you?                    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6.85pt;margin-top:17.05pt;width:289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" fillcolor="white [3201]" strokecolor="#f5c159" strokeweight="2pt">
                <v:textbox>
                  <w:txbxContent>
                    <w:p w:rsidR="0014381C" w:rsidRPr="0014381C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14:ligatures w14:val="none"/>
                        </w:rPr>
                      </w:pP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Do you have questions</w:t>
                      </w: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 xml:space="preserve"> or want someone to call you?                    Email </w:t>
                      </w: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</w:p>
    <w:sectPr w:rsidR="0001733A" w:rsidRPr="00F30325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14381C"/>
    <w:rsid w:val="00286054"/>
    <w:rsid w:val="004D49DB"/>
    <w:rsid w:val="005703B4"/>
    <w:rsid w:val="006D6942"/>
    <w:rsid w:val="0070251E"/>
    <w:rsid w:val="00983910"/>
    <w:rsid w:val="009A4CCC"/>
    <w:rsid w:val="00A7010F"/>
    <w:rsid w:val="00D93317"/>
    <w:rsid w:val="00E309A6"/>
    <w:rsid w:val="00F30325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research/index.php?page=ospLear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shington.edu/research/index.php?page=ospLear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 Ashby-Larrabee</cp:lastModifiedBy>
  <cp:revision>2</cp:revision>
  <dcterms:created xsi:type="dcterms:W3CDTF">2013-04-17T00:10:00Z</dcterms:created>
  <dcterms:modified xsi:type="dcterms:W3CDTF">2013-04-17T00:10:00Z</dcterms:modified>
</cp:coreProperties>
</file>