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F" w:rsidRPr="00EB321A" w:rsidRDefault="0032410F" w:rsidP="0032410F">
      <w:pPr>
        <w:pBdr>
          <w:top w:val="single" w:sz="2" w:space="0" w:color="auto"/>
          <w:bottom w:val="double" w:sz="4" w:space="1" w:color="auto"/>
        </w:pBdr>
        <w:spacing w:after="0"/>
        <w:rPr>
          <w:rFonts w:ascii="Copperplate Gothic Bold" w:hAnsi="Copperplate Gothic Bold"/>
          <w:b/>
          <w:i/>
          <w:sz w:val="36"/>
          <w:szCs w:val="32"/>
        </w:rPr>
      </w:pPr>
      <w:bookmarkStart w:id="0" w:name="_GoBack"/>
      <w:bookmarkEnd w:id="0"/>
      <w:r w:rsidRPr="00EB321A">
        <w:rPr>
          <w:rFonts w:ascii="Copperplate Gothic Bold" w:hAnsi="Copperplate Gothic Bold"/>
          <w:b/>
          <w:i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-430530</wp:posOffset>
            </wp:positionV>
            <wp:extent cx="1343025" cy="1704975"/>
            <wp:effectExtent l="19050" t="0" r="9525" b="0"/>
            <wp:wrapSquare wrapText="bothSides"/>
            <wp:docPr id="2" name="Picture 2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DE">
        <w:rPr>
          <w:rFonts w:ascii="Copperplate Gothic Bold" w:hAnsi="Copperplate Gothic Bold"/>
          <w:b/>
          <w:i/>
          <w:noProof/>
          <w:sz w:val="36"/>
          <w:szCs w:val="32"/>
        </w:rPr>
        <w:t>Effort Reporting News!</w:t>
      </w:r>
    </w:p>
    <w:p w:rsidR="001B2143" w:rsidRDefault="007B4350" w:rsidP="000B21D8">
      <w:pPr>
        <w:pStyle w:val="ListParagraph"/>
        <w:ind w:left="0"/>
        <w:rPr>
          <w:rFonts w:asciiTheme="majorHAnsi" w:hAnsiTheme="majorHAnsi"/>
          <w:i/>
        </w:rPr>
      </w:pPr>
      <w:r w:rsidRPr="007B4350">
        <w:rPr>
          <w:rFonts w:asciiTheme="majorHAnsi" w:hAnsiTheme="majorHAnsi"/>
          <w:i/>
        </w:rPr>
        <w:t>January 2013</w:t>
      </w:r>
    </w:p>
    <w:p w:rsidR="007B4350" w:rsidRPr="007B4350" w:rsidRDefault="007B4350" w:rsidP="000B21D8">
      <w:pPr>
        <w:pStyle w:val="ListParagraph"/>
        <w:ind w:left="0"/>
        <w:rPr>
          <w:rFonts w:asciiTheme="majorHAnsi" w:hAnsiTheme="majorHAnsi"/>
          <w:b/>
          <w:i/>
          <w:sz w:val="28"/>
        </w:rPr>
      </w:pPr>
    </w:p>
    <w:p w:rsidR="0045276A" w:rsidRDefault="0045276A" w:rsidP="00717D7B">
      <w:pPr>
        <w:pStyle w:val="ListParagraph"/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January eFECS Release Provides Increased Functionality</w:t>
      </w:r>
    </w:p>
    <w:p w:rsidR="00AF2AF0" w:rsidRDefault="0045276A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Several new features will be released w</w:t>
      </w:r>
      <w:r w:rsidR="0071040B">
        <w:rPr>
          <w:rFonts w:asciiTheme="majorHAnsi" w:hAnsiTheme="majorHAnsi"/>
        </w:rPr>
        <w:t>ith the 7/1/12-12/31/12 FECs scheduled</w:t>
      </w:r>
      <w:r>
        <w:rPr>
          <w:rFonts w:asciiTheme="majorHAnsi" w:hAnsiTheme="majorHAnsi"/>
        </w:rPr>
        <w:t xml:space="preserve"> to be</w:t>
      </w:r>
      <w:r w:rsidR="00AF2AF0">
        <w:rPr>
          <w:rFonts w:asciiTheme="majorHAnsi" w:hAnsiTheme="majorHAnsi"/>
        </w:rPr>
        <w:t xml:space="preserve"> available to campus</w:t>
      </w:r>
      <w:r>
        <w:rPr>
          <w:rFonts w:asciiTheme="majorHAnsi" w:hAnsiTheme="majorHAnsi"/>
        </w:rPr>
        <w:t xml:space="preserve"> around January 25. </w:t>
      </w:r>
    </w:p>
    <w:p w:rsidR="00AF2AF0" w:rsidRDefault="00AF2AF0" w:rsidP="00717D7B">
      <w:pPr>
        <w:pStyle w:val="ListParagraph"/>
        <w:ind w:left="0"/>
        <w:rPr>
          <w:rFonts w:asciiTheme="majorHAnsi" w:hAnsiTheme="majorHAnsi"/>
        </w:rPr>
      </w:pPr>
    </w:p>
    <w:p w:rsidR="0045276A" w:rsidRDefault="0045276A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who change departments will now appear on the </w:t>
      </w:r>
      <w:proofErr w:type="spellStart"/>
      <w:r>
        <w:rPr>
          <w:rFonts w:asciiTheme="majorHAnsi" w:hAnsiTheme="majorHAnsi"/>
        </w:rPr>
        <w:t>MyFaculty</w:t>
      </w:r>
      <w:proofErr w:type="spellEnd"/>
      <w:r>
        <w:rPr>
          <w:rFonts w:asciiTheme="majorHAnsi" w:hAnsiTheme="majorHAnsi"/>
        </w:rPr>
        <w:t xml:space="preserve"> List of the </w:t>
      </w:r>
      <w:r w:rsidR="00AF2AF0">
        <w:rPr>
          <w:rFonts w:asciiTheme="majorHAnsi" w:hAnsiTheme="majorHAnsi"/>
        </w:rPr>
        <w:t xml:space="preserve">home </w:t>
      </w:r>
      <w:r>
        <w:rPr>
          <w:rFonts w:asciiTheme="majorHAnsi" w:hAnsiTheme="majorHAnsi"/>
        </w:rPr>
        <w:t xml:space="preserve">department </w:t>
      </w:r>
      <w:r w:rsidR="00AF2AF0">
        <w:rPr>
          <w:rFonts w:asciiTheme="majorHAnsi" w:hAnsiTheme="majorHAnsi"/>
        </w:rPr>
        <w:t>they were in when</w:t>
      </w:r>
      <w:r>
        <w:rPr>
          <w:rFonts w:asciiTheme="majorHAnsi" w:hAnsiTheme="majorHAnsi"/>
        </w:rPr>
        <w:t xml:space="preserve"> they certified</w:t>
      </w:r>
      <w:r w:rsidR="00AF2AF0">
        <w:rPr>
          <w:rFonts w:asciiTheme="majorHAnsi" w:hAnsiTheme="majorHAnsi"/>
        </w:rPr>
        <w:t xml:space="preserve"> the FEC</w:t>
      </w:r>
      <w:r>
        <w:rPr>
          <w:rFonts w:asciiTheme="majorHAnsi" w:hAnsiTheme="majorHAnsi"/>
        </w:rPr>
        <w:t xml:space="preserve">. If the faculty member also changed reporting </w:t>
      </w:r>
      <w:r w:rsidR="00AF2AF0">
        <w:rPr>
          <w:rFonts w:asciiTheme="majorHAnsi" w:hAnsiTheme="majorHAnsi"/>
        </w:rPr>
        <w:t>cycles, the historical</w:t>
      </w:r>
      <w:r>
        <w:rPr>
          <w:rFonts w:asciiTheme="majorHAnsi" w:hAnsiTheme="majorHAnsi"/>
        </w:rPr>
        <w:t xml:space="preserve"> cycle will now be accessible and will display the name of the home</w:t>
      </w:r>
      <w:r w:rsidR="00AF2AF0">
        <w:rPr>
          <w:rFonts w:asciiTheme="majorHAnsi" w:hAnsiTheme="majorHAnsi"/>
        </w:rPr>
        <w:t xml:space="preserve"> department at the time of certification.</w:t>
      </w:r>
      <w:r>
        <w:rPr>
          <w:rFonts w:asciiTheme="majorHAnsi" w:hAnsiTheme="majorHAnsi"/>
        </w:rPr>
        <w:t xml:space="preserve"> </w:t>
      </w:r>
    </w:p>
    <w:p w:rsidR="00AF2AF0" w:rsidRDefault="00AF2AF0" w:rsidP="00717D7B">
      <w:pPr>
        <w:pStyle w:val="ListParagraph"/>
        <w:ind w:left="0"/>
        <w:rPr>
          <w:rFonts w:asciiTheme="majorHAnsi" w:hAnsiTheme="majorHAnsi"/>
        </w:rPr>
      </w:pPr>
    </w:p>
    <w:p w:rsidR="005D3AFA" w:rsidRDefault="00AF2AF0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Historical Average Paid FTE will now display on uncertified FECs. Formerly data was lost after 15 months and the Average Paid FTE was reduced to less than 100%</w:t>
      </w:r>
      <w:r w:rsidR="005D3AFA">
        <w:rPr>
          <w:rFonts w:asciiTheme="majorHAnsi" w:hAnsiTheme="majorHAnsi"/>
        </w:rPr>
        <w:t xml:space="preserve"> resulting in higher than required salary cap cost share being calculated by eFECS</w:t>
      </w:r>
      <w:r>
        <w:rPr>
          <w:rFonts w:asciiTheme="majorHAnsi" w:hAnsiTheme="majorHAnsi"/>
        </w:rPr>
        <w:t xml:space="preserve">. </w:t>
      </w:r>
    </w:p>
    <w:p w:rsidR="005D3AFA" w:rsidRDefault="005D3AFA" w:rsidP="00717D7B">
      <w:pPr>
        <w:pStyle w:val="ListParagraph"/>
        <w:ind w:left="0"/>
        <w:rPr>
          <w:rFonts w:asciiTheme="majorHAnsi" w:hAnsiTheme="majorHAnsi"/>
        </w:rPr>
      </w:pPr>
    </w:p>
    <w:p w:rsidR="00AF2AF0" w:rsidRPr="0045276A" w:rsidRDefault="00AF2AF0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Other enhancements will provide additional infor</w:t>
      </w:r>
      <w:r w:rsidR="005D3AFA">
        <w:rPr>
          <w:rFonts w:asciiTheme="majorHAnsi" w:hAnsiTheme="majorHAnsi"/>
        </w:rPr>
        <w:t xml:space="preserve">mation </w:t>
      </w:r>
      <w:r>
        <w:rPr>
          <w:rFonts w:asciiTheme="majorHAnsi" w:hAnsiTheme="majorHAnsi"/>
        </w:rPr>
        <w:t>on the Cost Share Adjustment History page and the Comments page eliminating the n</w:t>
      </w:r>
      <w:r w:rsidR="005D3AFA">
        <w:rPr>
          <w:rFonts w:asciiTheme="majorHAnsi" w:hAnsiTheme="majorHAnsi"/>
        </w:rPr>
        <w:t xml:space="preserve">eed for additional look ups. </w:t>
      </w:r>
    </w:p>
    <w:p w:rsidR="0045276A" w:rsidRDefault="0045276A" w:rsidP="00717D7B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717D7B" w:rsidRDefault="00717D7B" w:rsidP="00717D7B">
      <w:pPr>
        <w:pStyle w:val="ListParagraph"/>
        <w:ind w:left="0"/>
        <w:rPr>
          <w:rFonts w:asciiTheme="majorHAnsi" w:hAnsiTheme="majorHAnsi"/>
          <w:b/>
          <w:sz w:val="28"/>
        </w:rPr>
      </w:pPr>
      <w:r w:rsidRPr="00717D7B">
        <w:rPr>
          <w:rFonts w:asciiTheme="majorHAnsi" w:hAnsiTheme="majorHAnsi"/>
          <w:b/>
          <w:sz w:val="28"/>
        </w:rPr>
        <w:t>Compliance Reviews</w:t>
      </w:r>
      <w:r w:rsidR="00CC0E88">
        <w:rPr>
          <w:rFonts w:asciiTheme="majorHAnsi" w:hAnsiTheme="majorHAnsi"/>
          <w:b/>
          <w:sz w:val="28"/>
        </w:rPr>
        <w:t xml:space="preserve"> Begin</w:t>
      </w:r>
    </w:p>
    <w:p w:rsidR="00434215" w:rsidRDefault="00434215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 is </w:t>
      </w:r>
      <w:r w:rsidR="00C14B8E">
        <w:rPr>
          <w:rFonts w:asciiTheme="majorHAnsi" w:hAnsiTheme="majorHAnsi"/>
        </w:rPr>
        <w:t xml:space="preserve">currently </w:t>
      </w:r>
      <w:r>
        <w:rPr>
          <w:rFonts w:asciiTheme="majorHAnsi" w:hAnsiTheme="majorHAnsi"/>
        </w:rPr>
        <w:t xml:space="preserve">conducting compliance reviews of effort reports for 2012 and communicating with departments regarding concerns.  These reviews will be ongoing and be performed after the end of each FEC cycle. </w:t>
      </w:r>
    </w:p>
    <w:p w:rsidR="007758A1" w:rsidRDefault="007758A1" w:rsidP="00717D7B">
      <w:pPr>
        <w:pStyle w:val="ListParagraph"/>
        <w:ind w:left="0"/>
        <w:rPr>
          <w:rFonts w:asciiTheme="majorHAnsi" w:hAnsiTheme="majorHAnsi"/>
        </w:rPr>
      </w:pPr>
    </w:p>
    <w:p w:rsidR="007758A1" w:rsidRDefault="007758A1" w:rsidP="00717D7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Information gleaned from these reviews will be used to clarify reporting guidelines and to enhance training materials. Some recent findings include:</w:t>
      </w:r>
    </w:p>
    <w:p w:rsidR="00C14B8E" w:rsidRDefault="00C14B8E" w:rsidP="00717D7B">
      <w:pPr>
        <w:pStyle w:val="ListParagraph"/>
        <w:ind w:left="0"/>
        <w:rPr>
          <w:rFonts w:asciiTheme="majorHAnsi" w:hAnsiTheme="majorHAnsi"/>
        </w:rPr>
      </w:pPr>
    </w:p>
    <w:p w:rsidR="00642A91" w:rsidRPr="00CC0E88" w:rsidRDefault="000A48D1" w:rsidP="000A48D1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/>
          <w:color w:val="000000"/>
        </w:rPr>
      </w:pPr>
      <w:r w:rsidRPr="000A48D1">
        <w:rPr>
          <w:rFonts w:asciiTheme="majorHAnsi" w:hAnsiTheme="majorHAnsi"/>
        </w:rPr>
        <w:t xml:space="preserve">Incorrect use of </w:t>
      </w:r>
      <w:r w:rsidR="00C14B8E" w:rsidRPr="000A48D1">
        <w:rPr>
          <w:rFonts w:asciiTheme="majorHAnsi" w:hAnsiTheme="majorHAnsi"/>
        </w:rPr>
        <w:t xml:space="preserve">the predefined </w:t>
      </w:r>
      <w:r w:rsidRPr="000A48D1">
        <w:rPr>
          <w:rFonts w:asciiTheme="majorHAnsi" w:hAnsiTheme="majorHAnsi"/>
        </w:rPr>
        <w:t>comment “</w:t>
      </w:r>
      <w:r w:rsidR="00C14B8E" w:rsidRPr="00CC0E88">
        <w:rPr>
          <w:rFonts w:ascii="Calibri" w:eastAsia="Times New Roman" w:hAnsi="Calibri" w:cs="Times New Roman"/>
          <w:i/>
          <w:color w:val="000000"/>
        </w:rPr>
        <w:t>Non-federal grant(s) approved to be used for cost share. Contributing budget(s) with percent contribution reflected in “Additional Comments” section.  Other Salary Sources adjusted as necessary</w:t>
      </w:r>
      <w:r w:rsidRPr="00CC0E88">
        <w:rPr>
          <w:rFonts w:ascii="Calibri" w:eastAsia="Times New Roman" w:hAnsi="Calibri" w:cs="Times New Roman"/>
          <w:i/>
          <w:color w:val="000000"/>
        </w:rPr>
        <w:t>.</w:t>
      </w:r>
      <w:r w:rsidR="00642A91" w:rsidRPr="00CC0E88">
        <w:rPr>
          <w:rFonts w:ascii="Calibri" w:eastAsia="Times New Roman" w:hAnsi="Calibri" w:cs="Times New Roman"/>
          <w:i/>
          <w:color w:val="000000"/>
        </w:rPr>
        <w:t>”</w:t>
      </w:r>
      <w:r w:rsidRPr="00CC0E88">
        <w:rPr>
          <w:rFonts w:ascii="Calibri" w:eastAsia="Times New Roman" w:hAnsi="Calibri" w:cs="Times New Roman"/>
          <w:i/>
          <w:color w:val="000000"/>
        </w:rPr>
        <w:t xml:space="preserve">  </w:t>
      </w:r>
    </w:p>
    <w:p w:rsidR="00C14B8E" w:rsidRDefault="000A48D1" w:rsidP="00642A91">
      <w:pPr>
        <w:pStyle w:val="ListParagraph"/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 w:rsidRPr="000A48D1">
        <w:rPr>
          <w:rFonts w:ascii="Calibri" w:eastAsia="Times New Roman" w:hAnsi="Calibri" w:cs="Times New Roman"/>
          <w:color w:val="000000"/>
        </w:rPr>
        <w:t xml:space="preserve">Use this comment </w:t>
      </w:r>
      <w:r w:rsidRPr="00642A91">
        <w:rPr>
          <w:rFonts w:ascii="Calibri" w:eastAsia="Times New Roman" w:hAnsi="Calibri" w:cs="Times New Roman"/>
          <w:color w:val="000000"/>
          <w:u w:val="single"/>
        </w:rPr>
        <w:t>only</w:t>
      </w:r>
      <w:r w:rsidRPr="000A48D1">
        <w:rPr>
          <w:rFonts w:ascii="Calibri" w:eastAsia="Times New Roman" w:hAnsi="Calibri" w:cs="Times New Roman"/>
          <w:color w:val="000000"/>
        </w:rPr>
        <w:t xml:space="preserve"> when using </w:t>
      </w:r>
      <w:r w:rsidR="00642A91" w:rsidRPr="000A48D1">
        <w:rPr>
          <w:rFonts w:ascii="Calibri" w:eastAsia="Times New Roman" w:hAnsi="Calibri" w:cs="Times New Roman"/>
          <w:color w:val="000000"/>
        </w:rPr>
        <w:t>another GRANT as</w:t>
      </w:r>
      <w:r w:rsidRPr="000A48D1">
        <w:rPr>
          <w:rFonts w:ascii="Calibri" w:eastAsia="Times New Roman" w:hAnsi="Calibri" w:cs="Times New Roman"/>
          <w:color w:val="000000"/>
        </w:rPr>
        <w:t xml:space="preserve"> a source of cost share and written confirmation from the sponsor is in department files. </w:t>
      </w:r>
    </w:p>
    <w:p w:rsidR="00CC0E88" w:rsidRDefault="00642A91" w:rsidP="00CC0E88">
      <w:pPr>
        <w:pStyle w:val="ListParagraph"/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 w:rsidRPr="00642A91">
        <w:rPr>
          <w:rFonts w:ascii="Calibri" w:eastAsia="Times New Roman" w:hAnsi="Calibri" w:cs="Times New Roman"/>
          <w:color w:val="000000"/>
          <w:u w:val="single"/>
        </w:rPr>
        <w:t>Do not</w:t>
      </w:r>
      <w:r>
        <w:rPr>
          <w:rFonts w:ascii="Calibri" w:eastAsia="Times New Roman" w:hAnsi="Calibri" w:cs="Times New Roman"/>
          <w:color w:val="000000"/>
        </w:rPr>
        <w:t xml:space="preserve"> use this comment when cost sharing from a non-grant budget in the Other Salary Source section of the FEC.</w:t>
      </w:r>
      <w:r w:rsidR="00CC0E88">
        <w:rPr>
          <w:rFonts w:ascii="Calibri" w:eastAsia="Times New Roman" w:hAnsi="Calibri" w:cs="Times New Roman"/>
          <w:color w:val="000000"/>
        </w:rPr>
        <w:t xml:space="preserve"> This is normal procedure and does not require clarification. </w:t>
      </w:r>
    </w:p>
    <w:p w:rsidR="00CC0E88" w:rsidRPr="00CC0E88" w:rsidRDefault="00CC0E88" w:rsidP="00CC0E88">
      <w:pPr>
        <w:pStyle w:val="ListParagraph"/>
        <w:ind w:left="1440"/>
        <w:rPr>
          <w:rFonts w:ascii="Calibri" w:eastAsia="Times New Roman" w:hAnsi="Calibri" w:cs="Times New Roman"/>
          <w:color w:val="000000"/>
        </w:rPr>
      </w:pPr>
    </w:p>
    <w:p w:rsidR="00642A91" w:rsidRDefault="00642A91" w:rsidP="00642A91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Use of a federal grant as a source of cost share for another federal grant.</w:t>
      </w:r>
    </w:p>
    <w:p w:rsidR="00642A91" w:rsidRDefault="00642A91" w:rsidP="00642A91">
      <w:pPr>
        <w:pStyle w:val="ListParagraph"/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Permission to use</w:t>
      </w:r>
      <w:r w:rsidR="00CC0E88">
        <w:rPr>
          <w:rFonts w:ascii="Calibri" w:eastAsia="Times New Roman" w:hAnsi="Calibri" w:cs="Times New Roman"/>
          <w:color w:val="000000"/>
        </w:rPr>
        <w:t xml:space="preserve"> a federal grant as a</w:t>
      </w:r>
      <w:r>
        <w:rPr>
          <w:rFonts w:ascii="Calibri" w:eastAsia="Times New Roman" w:hAnsi="Calibri" w:cs="Times New Roman"/>
          <w:color w:val="000000"/>
        </w:rPr>
        <w:t xml:space="preserve"> cost share for another federal grant is rare.</w:t>
      </w:r>
    </w:p>
    <w:p w:rsidR="00642A91" w:rsidRDefault="00642A91" w:rsidP="00642A91">
      <w:pPr>
        <w:pStyle w:val="ListParagraph"/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Written permission from</w:t>
      </w:r>
      <w:r w:rsidRPr="00E5094F">
        <w:rPr>
          <w:rFonts w:ascii="Calibri" w:eastAsia="Times New Roman" w:hAnsi="Calibri" w:cs="Times New Roman"/>
          <w:color w:val="000000"/>
          <w:u w:val="single"/>
        </w:rPr>
        <w:t xml:space="preserve"> both</w:t>
      </w:r>
      <w:r>
        <w:rPr>
          <w:rFonts w:ascii="Calibri" w:eastAsia="Times New Roman" w:hAnsi="Calibri" w:cs="Times New Roman"/>
          <w:color w:val="000000"/>
        </w:rPr>
        <w:t xml:space="preserve"> sponsors must be in the budget file.</w:t>
      </w:r>
    </w:p>
    <w:p w:rsidR="00642A91" w:rsidRDefault="00642A91" w:rsidP="00642A91">
      <w:pPr>
        <w:pStyle w:val="ListParagraph"/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It is NOT sufficient to put the cost share in the budget without full disclosure to both sponsors.</w:t>
      </w:r>
    </w:p>
    <w:p w:rsidR="00CC0E88" w:rsidRDefault="00CC0E88" w:rsidP="00CC0E88">
      <w:pPr>
        <w:pStyle w:val="ListParagraph"/>
        <w:ind w:left="1440"/>
        <w:rPr>
          <w:rFonts w:ascii="Calibri" w:eastAsia="Times New Roman" w:hAnsi="Calibri" w:cs="Times New Roman"/>
          <w:color w:val="000000"/>
        </w:rPr>
      </w:pPr>
    </w:p>
    <w:p w:rsidR="00642A91" w:rsidRDefault="00642A91" w:rsidP="00642A91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Fiscal Directors </w:t>
      </w:r>
      <w:r w:rsidR="00CC0E88">
        <w:rPr>
          <w:rFonts w:ascii="Calibri" w:eastAsia="Times New Roman" w:hAnsi="Calibri" w:cs="Times New Roman"/>
          <w:color w:val="000000"/>
        </w:rPr>
        <w:t xml:space="preserve">(Department Administrators) </w:t>
      </w:r>
      <w:r>
        <w:rPr>
          <w:rFonts w:ascii="Calibri" w:eastAsia="Times New Roman" w:hAnsi="Calibri" w:cs="Times New Roman"/>
          <w:color w:val="000000"/>
        </w:rPr>
        <w:t xml:space="preserve">may not certify FECs. Director refers to the head of an organization or </w:t>
      </w:r>
      <w:r w:rsidR="007758A1">
        <w:rPr>
          <w:rFonts w:ascii="Calibri" w:eastAsia="Times New Roman" w:hAnsi="Calibri" w:cs="Times New Roman"/>
          <w:color w:val="000000"/>
        </w:rPr>
        <w:t>department level</w:t>
      </w:r>
      <w:r>
        <w:rPr>
          <w:rFonts w:ascii="Calibri" w:eastAsia="Times New Roman" w:hAnsi="Calibri" w:cs="Times New Roman"/>
          <w:color w:val="000000"/>
        </w:rPr>
        <w:t xml:space="preserve"> program</w:t>
      </w:r>
      <w:r w:rsidR="007758A1">
        <w:rPr>
          <w:rFonts w:ascii="Calibri" w:eastAsia="Times New Roman" w:hAnsi="Calibri" w:cs="Times New Roman"/>
          <w:color w:val="000000"/>
        </w:rPr>
        <w:t>.</w:t>
      </w:r>
    </w:p>
    <w:p w:rsidR="00877E65" w:rsidRDefault="00877E65" w:rsidP="000B21D8">
      <w:pPr>
        <w:pStyle w:val="ListParagraph"/>
        <w:ind w:left="0"/>
        <w:rPr>
          <w:rFonts w:asciiTheme="majorHAnsi" w:hAnsiTheme="majorHAnsi"/>
        </w:rPr>
      </w:pPr>
    </w:p>
    <w:p w:rsidR="00877E65" w:rsidRDefault="00877E65" w:rsidP="000B21D8">
      <w:pPr>
        <w:pStyle w:val="ListParagraph"/>
        <w:ind w:left="0"/>
        <w:rPr>
          <w:rFonts w:asciiTheme="majorHAnsi" w:hAnsiTheme="majorHAnsi"/>
        </w:rPr>
      </w:pPr>
    </w:p>
    <w:p w:rsidR="00877E65" w:rsidRDefault="00877E65" w:rsidP="000B21D8">
      <w:pPr>
        <w:pStyle w:val="ListParagraph"/>
        <w:ind w:left="0"/>
        <w:rPr>
          <w:rFonts w:asciiTheme="majorHAnsi" w:hAnsiTheme="majorHAnsi"/>
        </w:rPr>
      </w:pPr>
    </w:p>
    <w:p w:rsidR="00C2661A" w:rsidRDefault="00C2661A" w:rsidP="000B21D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Questions: </w:t>
      </w:r>
      <w:r w:rsidR="000B21D8">
        <w:rPr>
          <w:rFonts w:asciiTheme="majorHAnsi" w:hAnsiTheme="majorHAnsi"/>
        </w:rPr>
        <w:t xml:space="preserve"> </w:t>
      </w:r>
      <w:hyperlink r:id="rId7" w:history="1">
        <w:r w:rsidR="000B21D8" w:rsidRPr="0023704B">
          <w:rPr>
            <w:rStyle w:val="Hyperlink"/>
            <w:rFonts w:asciiTheme="majorHAnsi" w:hAnsiTheme="majorHAnsi"/>
          </w:rPr>
          <w:t>efecs@u.washington.edu</w:t>
        </w:r>
      </w:hyperlink>
      <w:r w:rsidR="000B21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877E65" w:rsidRPr="000B21D8" w:rsidRDefault="00C2661A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and prior newsletters are on the FEC website: </w:t>
      </w:r>
      <w:hyperlink r:id="rId8" w:history="1">
        <w:r w:rsidRPr="00B038E8">
          <w:rPr>
            <w:rStyle w:val="Hyperlink"/>
            <w:rFonts w:asciiTheme="majorHAnsi" w:hAnsiTheme="majorHAnsi"/>
          </w:rPr>
          <w:t>http://f2.washington.edu/fm/maa/fec/letters</w:t>
        </w:r>
      </w:hyperlink>
    </w:p>
    <w:sectPr w:rsidR="00877E65" w:rsidRPr="000B21D8" w:rsidSect="0012440E">
      <w:pgSz w:w="12240" w:h="15840"/>
      <w:pgMar w:top="1008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D7A"/>
    <w:multiLevelType w:val="hybridMultilevel"/>
    <w:tmpl w:val="98B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EEF"/>
    <w:multiLevelType w:val="hybridMultilevel"/>
    <w:tmpl w:val="B84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F"/>
    <w:rsid w:val="0000514A"/>
    <w:rsid w:val="00033E67"/>
    <w:rsid w:val="00077FC0"/>
    <w:rsid w:val="000972FF"/>
    <w:rsid w:val="000A48D1"/>
    <w:rsid w:val="000B21D8"/>
    <w:rsid w:val="0012440E"/>
    <w:rsid w:val="00185F5C"/>
    <w:rsid w:val="001B2143"/>
    <w:rsid w:val="00206458"/>
    <w:rsid w:val="0021426E"/>
    <w:rsid w:val="002412B3"/>
    <w:rsid w:val="003164DE"/>
    <w:rsid w:val="0032410F"/>
    <w:rsid w:val="003923C8"/>
    <w:rsid w:val="003E6D74"/>
    <w:rsid w:val="00434215"/>
    <w:rsid w:val="004408B7"/>
    <w:rsid w:val="0045276A"/>
    <w:rsid w:val="00464708"/>
    <w:rsid w:val="00467267"/>
    <w:rsid w:val="00522227"/>
    <w:rsid w:val="005D3AFA"/>
    <w:rsid w:val="005F4E57"/>
    <w:rsid w:val="0063206A"/>
    <w:rsid w:val="00642A91"/>
    <w:rsid w:val="00665046"/>
    <w:rsid w:val="006D021B"/>
    <w:rsid w:val="0071040B"/>
    <w:rsid w:val="00717D7B"/>
    <w:rsid w:val="007475D2"/>
    <w:rsid w:val="007758A1"/>
    <w:rsid w:val="007B4350"/>
    <w:rsid w:val="007D0034"/>
    <w:rsid w:val="008758DA"/>
    <w:rsid w:val="00877E65"/>
    <w:rsid w:val="008D663D"/>
    <w:rsid w:val="009777B9"/>
    <w:rsid w:val="00984F83"/>
    <w:rsid w:val="009A37C1"/>
    <w:rsid w:val="009E202B"/>
    <w:rsid w:val="00A37C0C"/>
    <w:rsid w:val="00AB2C90"/>
    <w:rsid w:val="00AE6B63"/>
    <w:rsid w:val="00AF2AF0"/>
    <w:rsid w:val="00B33EA6"/>
    <w:rsid w:val="00B4463F"/>
    <w:rsid w:val="00B62108"/>
    <w:rsid w:val="00B664B5"/>
    <w:rsid w:val="00C14B8E"/>
    <w:rsid w:val="00C2661A"/>
    <w:rsid w:val="00C63852"/>
    <w:rsid w:val="00CC0E88"/>
    <w:rsid w:val="00D0138C"/>
    <w:rsid w:val="00D26BF6"/>
    <w:rsid w:val="00D94ABD"/>
    <w:rsid w:val="00DB3AD1"/>
    <w:rsid w:val="00DB48CE"/>
    <w:rsid w:val="00DE50D3"/>
    <w:rsid w:val="00E038C0"/>
    <w:rsid w:val="00E5094F"/>
    <w:rsid w:val="00E519E0"/>
    <w:rsid w:val="00EA5DA4"/>
    <w:rsid w:val="00EE3463"/>
    <w:rsid w:val="00F24E27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1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638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39465312">
                                          <w:marLeft w:val="75"/>
                                          <w:marRight w:val="75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4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182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2452578">
                                          <w:marLeft w:val="75"/>
                                          <w:marRight w:val="75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fec/lett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fecs@u.washing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 Ashby-Larrabee</cp:lastModifiedBy>
  <cp:revision>2</cp:revision>
  <dcterms:created xsi:type="dcterms:W3CDTF">2013-02-14T00:45:00Z</dcterms:created>
  <dcterms:modified xsi:type="dcterms:W3CDTF">2013-02-14T00:45:00Z</dcterms:modified>
</cp:coreProperties>
</file>