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5591175</wp:posOffset>
            </wp:positionH>
            <wp:positionV relativeFrom="paragraph">
              <wp:posOffset>-377825</wp:posOffset>
            </wp:positionV>
            <wp:extent cx="1154430" cy="1465580"/>
            <wp:effectExtent l="0" t="0" r="7620" b="127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Pr="00044095" w:rsidRDefault="0001733A" w:rsidP="00044095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2D41F5" wp14:editId="7148522E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D0390D">
        <w:rPr>
          <w:rFonts w:ascii="Copperplate Gothic Bold" w:hAnsi="Copperplate Gothic Bold"/>
          <w:i/>
        </w:rPr>
        <w:t>April</w:t>
      </w:r>
      <w:r w:rsidR="0027720F">
        <w:rPr>
          <w:rFonts w:ascii="Copperplate Gothic Bold" w:hAnsi="Copperplate Gothic Bold"/>
          <w:i/>
        </w:rPr>
        <w:t xml:space="preserve"> 2015</w: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044095" w:rsidP="00F30325">
      <w:pPr>
        <w:rPr>
          <w:rFonts w:ascii="Copperplate Gothic Bold" w:hAnsi="Copperplate Gothic Bold"/>
        </w:rPr>
      </w:pPr>
      <w:r w:rsidRPr="000173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B7498" wp14:editId="79B4EE6A">
                <wp:simplePos x="0" y="0"/>
                <wp:positionH relativeFrom="column">
                  <wp:posOffset>112486</wp:posOffset>
                </wp:positionH>
                <wp:positionV relativeFrom="paragraph">
                  <wp:posOffset>44904</wp:posOffset>
                </wp:positionV>
                <wp:extent cx="6574971" cy="378822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971" cy="3788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BF" w:rsidRPr="003431BF" w:rsidRDefault="00D0390D" w:rsidP="00620D54">
                            <w:pPr>
                              <w:pStyle w:val="ListParagraph"/>
                              <w:spacing w:after="360" w:line="240" w:lineRule="auto"/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Introducing the </w:t>
                            </w:r>
                            <w:r w:rsidR="003431B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431BF" w:rsidRPr="003431BF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ew Web Page and Registration Tool</w:t>
                            </w:r>
                          </w:p>
                          <w:p w:rsidR="003431BF" w:rsidRDefault="003431BF" w:rsidP="008136E6">
                            <w:pPr>
                              <w:spacing w:line="240" w:lineRule="auto"/>
                            </w:pPr>
                            <w:r>
                              <w:t xml:space="preserve">The Office of Research is pleased to announce the newly launched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website and registration tool</w:t>
                              </w:r>
                            </w:hyperlink>
                            <w:r>
                              <w:t xml:space="preserve"> managed by The Colla</w:t>
                            </w:r>
                            <w:r w:rsidR="00D0390D">
                              <w:t>borative for Research Education (CORE)</w:t>
                            </w:r>
                            <w:r>
                              <w:t>. CORE’s goal is to enhance the existing research learning program previously offered through OSP. Representatives from across all of OR’s organizational units</w:t>
                            </w:r>
                            <w:r w:rsidR="00D87E6C">
                              <w:t xml:space="preserve"> as well as</w:t>
                            </w:r>
                            <w:r>
                              <w:t xml:space="preserve"> GCA, MAA and Internal Audit, are collaborating to manage curriculum planning and course evaluation and exploring new avenues for teaching, such as on-line courses.   </w:t>
                            </w:r>
                          </w:p>
                          <w:p w:rsidR="006B15CD" w:rsidRPr="006547FC" w:rsidRDefault="003431BF" w:rsidP="008136E6">
                            <w:pPr>
                              <w:spacing w:after="360" w:line="240" w:lineRule="auto"/>
                            </w:pPr>
                            <w:r>
                              <w:t xml:space="preserve">The new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website and registration tool</w:t>
                              </w:r>
                            </w:hyperlink>
                            <w:r>
                              <w:t xml:space="preserve"> will make it easier for users to search and sign up for courses </w:t>
                            </w:r>
                            <w:r w:rsidR="00D87E6C">
                              <w:t>pertaining to</w:t>
                            </w:r>
                            <w:r>
                              <w:t xml:space="preserve"> research administration. Users will also be able to access their course transcripts (for non-required training) and track when a class they are interested in is added to the schedule.  </w:t>
                            </w:r>
                          </w:p>
                          <w:p w:rsidR="002D51FC" w:rsidRDefault="00503D7E" w:rsidP="002D51FC">
                            <w:pPr>
                              <w:pStyle w:val="ListParagraph"/>
                              <w:spacing w:line="240" w:lineRule="auto"/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3D7E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Calculating Effort on FECs with ADS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503D7E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ENS</w:t>
                            </w:r>
                          </w:p>
                          <w:p w:rsidR="006547FC" w:rsidRDefault="002D51FC" w:rsidP="00620D54">
                            <w:pPr>
                              <w:shd w:val="clear" w:color="auto" w:fill="FFFFFF"/>
                              <w:spacing w:before="120" w:after="100" w:afterAutospacing="1" w:line="240" w:lineRule="auto"/>
                            </w:pPr>
                            <w:r w:rsidRPr="002D51FC">
                              <w:t>Administrative Supplements (ADS)</w:t>
                            </w:r>
                            <w:r w:rsidR="00412A16">
                              <w:t xml:space="preserve"> and </w:t>
                            </w:r>
                            <w:r w:rsidRPr="002D51FC">
                              <w:t xml:space="preserve">Endowed Supplements (ENS) do not have </w:t>
                            </w:r>
                            <w:r w:rsidR="00D87E6C">
                              <w:t xml:space="preserve">an </w:t>
                            </w:r>
                            <w:r w:rsidRPr="002D51FC">
                              <w:t>FTE attached to them in the payroll system (HEPPS/OPUS).</w:t>
                            </w:r>
                            <w:r w:rsidR="006B15CD">
                              <w:t xml:space="preserve"> </w:t>
                            </w:r>
                            <w:r w:rsidR="006547FC" w:rsidRPr="002D51FC">
                              <w:t>Since the</w:t>
                            </w:r>
                            <w:r w:rsidR="00D87E6C">
                              <w:t>se</w:t>
                            </w:r>
                            <w:r w:rsidR="006547FC" w:rsidRPr="002D51FC">
                              <w:t xml:space="preserve"> earn types are</w:t>
                            </w:r>
                            <w:r w:rsidR="00D87E6C">
                              <w:t>,</w:t>
                            </w:r>
                            <w:r w:rsidR="006547FC" w:rsidRPr="002D51FC">
                              <w:t xml:space="preserve"> </w:t>
                            </w:r>
                            <w:r w:rsidR="00D87E6C" w:rsidRPr="002D51FC">
                              <w:t>however,</w:t>
                            </w:r>
                            <w:r w:rsidR="00D87E6C">
                              <w:t xml:space="preserve"> </w:t>
                            </w:r>
                            <w:r w:rsidR="006547FC" w:rsidRPr="002D51FC">
                              <w:t>part of the</w:t>
                            </w:r>
                            <w:r w:rsidR="00F113FB">
                              <w:t xml:space="preserve"> Institutional Base Salary</w:t>
                            </w:r>
                            <w:r w:rsidR="006547FC" w:rsidRPr="002D51FC">
                              <w:t xml:space="preserve"> </w:t>
                            </w:r>
                            <w:r w:rsidR="00F113FB">
                              <w:t>(</w:t>
                            </w:r>
                            <w:r w:rsidR="006547FC" w:rsidRPr="002D51FC">
                              <w:t>IBS</w:t>
                            </w:r>
                            <w:r w:rsidR="00F113FB">
                              <w:t>)</w:t>
                            </w:r>
                            <w:r w:rsidR="006547FC" w:rsidRPr="002D51FC">
                              <w:t>, eFECS calculate</w:t>
                            </w:r>
                            <w:r w:rsidR="00D87E6C">
                              <w:t>s</w:t>
                            </w:r>
                            <w:r w:rsidR="006547FC" w:rsidRPr="002D51FC">
                              <w:t xml:space="preserve"> effort using the salary charged per budget divided by the total IBS</w:t>
                            </w:r>
                            <w:r w:rsidR="00D0390D">
                              <w:t xml:space="preserve"> earnings</w:t>
                            </w:r>
                            <w:r w:rsidR="00D87E6C">
                              <w:t xml:space="preserve">, </w:t>
                            </w:r>
                            <w:r w:rsidR="00D0390D">
                              <w:t>includ</w:t>
                            </w:r>
                            <w:r w:rsidR="00D87E6C">
                              <w:t>ing</w:t>
                            </w:r>
                            <w:r w:rsidR="00D0390D">
                              <w:t xml:space="preserve"> ADS and ENS</w:t>
                            </w:r>
                            <w:r w:rsidR="006547FC" w:rsidRPr="002D51FC">
                              <w:t>.</w:t>
                            </w:r>
                            <w:r w:rsidR="006547FC" w:rsidRPr="006547FC">
                              <w:t xml:space="preserve"> </w:t>
                            </w:r>
                            <w:r w:rsidR="00D87E6C">
                              <w:t>When determining salary distributions and/or adjustments for faculty with ADS and ENS, care should be taken to ensure these earn types are factored into the calculation so the salary</w:t>
                            </w:r>
                            <w:r w:rsidR="006547FC">
                              <w:t xml:space="preserve"> presents </w:t>
                            </w:r>
                            <w:r w:rsidR="00D87E6C">
                              <w:t xml:space="preserve">on the FEC is </w:t>
                            </w:r>
                            <w:r w:rsidR="006547FC">
                              <w:t>correct</w:t>
                            </w:r>
                            <w:r w:rsidR="00D87E6C">
                              <w:t>.</w:t>
                            </w:r>
                          </w:p>
                          <w:p w:rsidR="002D51FC" w:rsidRPr="006547FC" w:rsidRDefault="002D51FC" w:rsidP="006B15CD">
                            <w:pPr>
                              <w:spacing w:line="240" w:lineRule="auto"/>
                            </w:pPr>
                          </w:p>
                          <w:p w:rsidR="00F07850" w:rsidRPr="00F07850" w:rsidRDefault="00F07850" w:rsidP="00F07850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3.55pt;width:517.7pt;height:2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OKJAIAAB4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" stroked="f">
                <v:textbox>
                  <w:txbxContent>
                    <w:p w:rsidR="003431BF" w:rsidRPr="003431BF" w:rsidRDefault="00D0390D" w:rsidP="00620D54">
                      <w:pPr>
                        <w:pStyle w:val="ListParagraph"/>
                        <w:spacing w:after="360" w:line="240" w:lineRule="auto"/>
                        <w:ind w:left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Introducing the </w:t>
                      </w:r>
                      <w:r w:rsidR="003431B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431BF" w:rsidRPr="003431BF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ew Web Page and Registration Tool</w:t>
                      </w:r>
                    </w:p>
                    <w:p w:rsidR="003431BF" w:rsidRDefault="003431BF" w:rsidP="008136E6">
                      <w:pPr>
                        <w:spacing w:line="240" w:lineRule="auto"/>
                      </w:pPr>
                      <w:r>
                        <w:t xml:space="preserve">The Office of Research is pleased to announce the newly launched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website and registration tool</w:t>
                        </w:r>
                      </w:hyperlink>
                      <w:r>
                        <w:t xml:space="preserve"> managed by The Colla</w:t>
                      </w:r>
                      <w:r w:rsidR="00D0390D">
                        <w:t>borative for Research Education (CORE)</w:t>
                      </w:r>
                      <w:r>
                        <w:t>. CORE’s goal is to enhance the existing research learning program previously offered through OSP. Representatives from across all of OR’s organizational units</w:t>
                      </w:r>
                      <w:r w:rsidR="00D87E6C">
                        <w:t xml:space="preserve"> as well as</w:t>
                      </w:r>
                      <w:r>
                        <w:t xml:space="preserve"> GCA, MAA and Internal Audit, are collaborating to manage curriculum planning and course evaluation and exploring new avenues for teaching, such as on-line courses.   </w:t>
                      </w:r>
                    </w:p>
                    <w:p w:rsidR="006B15CD" w:rsidRPr="006547FC" w:rsidRDefault="003431BF" w:rsidP="008136E6">
                      <w:pPr>
                        <w:spacing w:after="360" w:line="240" w:lineRule="auto"/>
                      </w:pPr>
                      <w:r>
                        <w:t xml:space="preserve">The new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website and registration tool</w:t>
                        </w:r>
                      </w:hyperlink>
                      <w:r>
                        <w:t xml:space="preserve"> will make it easier for users to search and sign up for courses </w:t>
                      </w:r>
                      <w:r w:rsidR="00D87E6C">
                        <w:t>pertaining to</w:t>
                      </w:r>
                      <w:r>
                        <w:t xml:space="preserve"> research administration. Users will also be able to access their course transcripts (for non-required training) and track when a class they are interested in is added to the schedule.  </w:t>
                      </w:r>
                    </w:p>
                    <w:p w:rsidR="002D51FC" w:rsidRDefault="00503D7E" w:rsidP="002D51FC">
                      <w:pPr>
                        <w:pStyle w:val="ListParagraph"/>
                        <w:spacing w:line="240" w:lineRule="auto"/>
                        <w:ind w:left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3D7E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Calculating Effort on FECs with ADS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503D7E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ENS</w:t>
                      </w:r>
                    </w:p>
                    <w:p w:rsidR="006547FC" w:rsidRDefault="002D51FC" w:rsidP="00620D54">
                      <w:pPr>
                        <w:shd w:val="clear" w:color="auto" w:fill="FFFFFF"/>
                        <w:spacing w:before="120" w:after="100" w:afterAutospacing="1" w:line="240" w:lineRule="auto"/>
                      </w:pPr>
                      <w:r w:rsidRPr="002D51FC">
                        <w:t>Administrative Supplements (ADS)</w:t>
                      </w:r>
                      <w:r w:rsidR="00412A16">
                        <w:t xml:space="preserve"> and </w:t>
                      </w:r>
                      <w:r w:rsidRPr="002D51FC">
                        <w:t xml:space="preserve">Endowed Supplements (ENS) do not have </w:t>
                      </w:r>
                      <w:r w:rsidR="00D87E6C">
                        <w:t xml:space="preserve">an </w:t>
                      </w:r>
                      <w:r w:rsidRPr="002D51FC">
                        <w:t>FTE attached to them in the payroll system (HEPPS/OPUS).</w:t>
                      </w:r>
                      <w:r w:rsidR="006B15CD">
                        <w:t xml:space="preserve"> </w:t>
                      </w:r>
                      <w:r w:rsidR="006547FC" w:rsidRPr="002D51FC">
                        <w:t>Since the</w:t>
                      </w:r>
                      <w:r w:rsidR="00D87E6C">
                        <w:t>se</w:t>
                      </w:r>
                      <w:r w:rsidR="006547FC" w:rsidRPr="002D51FC">
                        <w:t xml:space="preserve"> earn types are</w:t>
                      </w:r>
                      <w:r w:rsidR="00D87E6C">
                        <w:t>,</w:t>
                      </w:r>
                      <w:r w:rsidR="006547FC" w:rsidRPr="002D51FC">
                        <w:t xml:space="preserve"> </w:t>
                      </w:r>
                      <w:r w:rsidR="00D87E6C" w:rsidRPr="002D51FC">
                        <w:t>however,</w:t>
                      </w:r>
                      <w:r w:rsidR="00D87E6C">
                        <w:t xml:space="preserve"> </w:t>
                      </w:r>
                      <w:r w:rsidR="006547FC" w:rsidRPr="002D51FC">
                        <w:t>part of the</w:t>
                      </w:r>
                      <w:r w:rsidR="00F113FB">
                        <w:t xml:space="preserve"> Institutional Base Salary</w:t>
                      </w:r>
                      <w:r w:rsidR="006547FC" w:rsidRPr="002D51FC">
                        <w:t xml:space="preserve"> </w:t>
                      </w:r>
                      <w:r w:rsidR="00F113FB">
                        <w:t>(</w:t>
                      </w:r>
                      <w:r w:rsidR="006547FC" w:rsidRPr="002D51FC">
                        <w:t>IBS</w:t>
                      </w:r>
                      <w:r w:rsidR="00F113FB">
                        <w:t>)</w:t>
                      </w:r>
                      <w:r w:rsidR="006547FC" w:rsidRPr="002D51FC">
                        <w:t>, eFECS calculate</w:t>
                      </w:r>
                      <w:r w:rsidR="00D87E6C">
                        <w:t>s</w:t>
                      </w:r>
                      <w:r w:rsidR="006547FC" w:rsidRPr="002D51FC">
                        <w:t xml:space="preserve"> effort using the salary charged per budget divided by the total IBS</w:t>
                      </w:r>
                      <w:r w:rsidR="00D0390D">
                        <w:t xml:space="preserve"> earnings</w:t>
                      </w:r>
                      <w:r w:rsidR="00D87E6C">
                        <w:t xml:space="preserve">, </w:t>
                      </w:r>
                      <w:r w:rsidR="00D0390D">
                        <w:t>includ</w:t>
                      </w:r>
                      <w:r w:rsidR="00D87E6C">
                        <w:t>ing</w:t>
                      </w:r>
                      <w:r w:rsidR="00D0390D">
                        <w:t xml:space="preserve"> ADS and ENS</w:t>
                      </w:r>
                      <w:r w:rsidR="006547FC" w:rsidRPr="002D51FC">
                        <w:t>.</w:t>
                      </w:r>
                      <w:r w:rsidR="006547FC" w:rsidRPr="006547FC">
                        <w:t xml:space="preserve"> </w:t>
                      </w:r>
                      <w:r w:rsidR="00D87E6C">
                        <w:t>When determining salary distributions and/or adjustments for faculty with ADS and ENS, care should be taken to ensure these earn types are factored into the calculation so the salary</w:t>
                      </w:r>
                      <w:r w:rsidR="006547FC">
                        <w:t xml:space="preserve"> presents </w:t>
                      </w:r>
                      <w:r w:rsidR="00D87E6C">
                        <w:t xml:space="preserve">on the FEC is </w:t>
                      </w:r>
                      <w:r w:rsidR="006547FC">
                        <w:t>correct</w:t>
                      </w:r>
                      <w:r w:rsidR="00D87E6C">
                        <w:t>.</w:t>
                      </w:r>
                    </w:p>
                    <w:p w:rsidR="002D51FC" w:rsidRPr="006547FC" w:rsidRDefault="002D51FC" w:rsidP="006B15CD">
                      <w:pPr>
                        <w:spacing w:line="240" w:lineRule="auto"/>
                      </w:pPr>
                    </w:p>
                    <w:p w:rsidR="00F07850" w:rsidRPr="00F07850" w:rsidRDefault="00F07850" w:rsidP="00F07850">
                      <w:pPr>
                        <w:pStyle w:val="ListParagraph"/>
                        <w:spacing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F30325" w:rsidP="00F30325">
      <w:pPr>
        <w:rPr>
          <w:rFonts w:ascii="Copperplate Gothic Bold" w:hAnsi="Copperplate Gothic Bold"/>
        </w:rPr>
      </w:pPr>
    </w:p>
    <w:p w:rsidR="00044095" w:rsidRDefault="00044095" w:rsidP="00F30325">
      <w:pPr>
        <w:rPr>
          <w:rFonts w:ascii="Copperplate Gothic Bold" w:hAnsi="Copperplate Gothic Bold"/>
        </w:rPr>
      </w:pPr>
    </w:p>
    <w:p w:rsidR="00044095" w:rsidRPr="00F30325" w:rsidRDefault="008136E6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D4143" wp14:editId="3C2D6B4D">
                <wp:simplePos x="0" y="0"/>
                <wp:positionH relativeFrom="column">
                  <wp:posOffset>264160</wp:posOffset>
                </wp:positionH>
                <wp:positionV relativeFrom="paragraph">
                  <wp:posOffset>191498</wp:posOffset>
                </wp:positionV>
                <wp:extent cx="2853690" cy="2677795"/>
                <wp:effectExtent l="57150" t="57150" r="118110" b="1225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E715B6" w:rsidRDefault="0014381C" w:rsidP="00473C89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E715B6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 w:rsidRPr="00E715B6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3431BF" w:rsidRPr="00E715B6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April</w:t>
                            </w:r>
                            <w:r w:rsidR="0027720F" w:rsidRPr="00E715B6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-Ma</w:t>
                            </w:r>
                            <w:r w:rsidR="003431BF" w:rsidRPr="00E715B6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y</w:t>
                            </w:r>
                          </w:p>
                          <w:p w:rsidR="00B05A8C" w:rsidRPr="00E715B6" w:rsidRDefault="0014381C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E715B6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766F29" w:rsidRPr="00E715B6">
                              <w:t> </w:t>
                            </w:r>
                            <w:r w:rsidR="00E715B6" w:rsidRPr="00E715B6">
                              <w:t>Introduction to GCCR</w:t>
                            </w:r>
                          </w:p>
                          <w:p w:rsidR="00C5235D" w:rsidRPr="00E715B6" w:rsidRDefault="00C5235D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</w:pPr>
                            <w:r w:rsidRPr="00E715B6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E715B6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B05A8C" w:rsidRPr="00E715B6">
                              <w:t>eFECS for FEC Coordinators</w:t>
                            </w:r>
                          </w:p>
                          <w:p w:rsidR="00B05A8C" w:rsidRPr="00E715B6" w:rsidRDefault="009009EF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</w:pPr>
                            <w:r w:rsidRPr="00E715B6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1C1028" w:rsidRPr="00E715B6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E715B6" w:rsidRPr="00E715B6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5B6" w:rsidRPr="00E715B6">
                              <w:t>Faculty Effort and Cost Share, Calculate it Right!</w:t>
                            </w:r>
                          </w:p>
                          <w:p w:rsidR="001C1028" w:rsidRPr="001C1028" w:rsidRDefault="001C1028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</w:pPr>
                            <w:r w:rsidRPr="00E715B6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E715B6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E715B6" w:rsidRPr="00E715B6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5B6" w:rsidRPr="00E715B6">
                              <w:t>Managing Faculty Effort</w:t>
                            </w:r>
                          </w:p>
                          <w:p w:rsidR="0014381C" w:rsidRPr="00897AEE" w:rsidRDefault="0014381C" w:rsidP="001C1028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14381C" w:rsidRPr="00D02B8E" w:rsidRDefault="0014381C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"/>
                              </w:rPr>
                            </w:pPr>
                          </w:p>
                          <w:p w:rsidR="005703B4" w:rsidRPr="00897AEE" w:rsidRDefault="005703B4" w:rsidP="00473C89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10"/>
                              </w:rPr>
                            </w:pPr>
                          </w:p>
                          <w:p w:rsidR="00897AEE" w:rsidRPr="00897AEE" w:rsidRDefault="00897AEE" w:rsidP="00473C89">
                            <w:pPr>
                              <w:pStyle w:val="msobodytext4"/>
                              <w:widowControl w:val="0"/>
                              <w:spacing w:line="240" w:lineRule="auto"/>
                              <w:rPr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Registration opens the middle of the month prior to the class date. </w:t>
                            </w:r>
                          </w:p>
                          <w:p w:rsidR="0014381C" w:rsidRPr="00897AEE" w:rsidRDefault="00897AEE" w:rsidP="00473C89">
                            <w:pPr>
                              <w:pStyle w:val="msobodytext4"/>
                              <w:widowControl w:val="0"/>
                              <w:spacing w:line="240" w:lineRule="auto"/>
                              <w:rPr>
                                <w:i w:val="0"/>
                                <w:iCs w:val="0"/>
                                <w:sz w:val="18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Cs w:val="22"/>
                                <w14:ligatures w14:val="none"/>
                              </w:rPr>
                              <w:t xml:space="preserve">Sign up for Alerts or </w:t>
                            </w:r>
                            <w:r w:rsidR="0014381C"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</w:p>
                          <w:p w:rsidR="0014381C" w:rsidRPr="002D51FC" w:rsidRDefault="0014381C" w:rsidP="0014381C">
                            <w:pPr>
                              <w:widowControl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D51FC">
                              <w:rPr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hyperlink r:id="rId11" w:history="1">
                              <w:r w:rsidR="002D51FC" w:rsidRPr="002D51F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http://www.washington.edu/research/learning</w:t>
                              </w:r>
                            </w:hyperlink>
                          </w:p>
                          <w:p w:rsidR="002D51FC" w:rsidRDefault="002D51F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8pt;margin-top:15.1pt;width:224.7pt;height:2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E715B6" w:rsidRDefault="0014381C" w:rsidP="00473C89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E715B6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 w:rsidRPr="00E715B6">
                        <w:rPr>
                          <w:rFonts w:ascii="Verdana" w:hAnsi="Verdana"/>
                          <w:b/>
                          <w:sz w:val="28"/>
                        </w:rPr>
                        <w:t xml:space="preserve">      </w:t>
                      </w:r>
                      <w:r w:rsidR="003431BF" w:rsidRPr="00E715B6">
                        <w:rPr>
                          <w:rFonts w:ascii="Verdana" w:hAnsi="Verdana"/>
                          <w:b/>
                          <w:sz w:val="28"/>
                        </w:rPr>
                        <w:t>April</w:t>
                      </w:r>
                      <w:r w:rsidR="0027720F" w:rsidRPr="00E715B6">
                        <w:rPr>
                          <w:rFonts w:ascii="Verdana" w:hAnsi="Verdana"/>
                          <w:b/>
                          <w:sz w:val="28"/>
                        </w:rPr>
                        <w:t>-Ma</w:t>
                      </w:r>
                      <w:r w:rsidR="003431BF" w:rsidRPr="00E715B6">
                        <w:rPr>
                          <w:rFonts w:ascii="Verdana" w:hAnsi="Verdana"/>
                          <w:b/>
                          <w:sz w:val="28"/>
                        </w:rPr>
                        <w:t>y</w:t>
                      </w:r>
                    </w:p>
                    <w:p w:rsidR="00B05A8C" w:rsidRPr="00E715B6" w:rsidRDefault="0014381C" w:rsidP="00473C89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sz w:val="20"/>
                        </w:rPr>
                      </w:pPr>
                      <w:r w:rsidRPr="00E715B6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766F29" w:rsidRPr="00E715B6">
                        <w:t> </w:t>
                      </w:r>
                      <w:r w:rsidR="00E715B6" w:rsidRPr="00E715B6">
                        <w:t>Introduction to GCCR</w:t>
                      </w:r>
                    </w:p>
                    <w:p w:rsidR="00C5235D" w:rsidRPr="00E715B6" w:rsidRDefault="00C5235D" w:rsidP="00473C89">
                      <w:pPr>
                        <w:widowControl w:val="0"/>
                        <w:spacing w:after="0" w:line="240" w:lineRule="auto"/>
                        <w:ind w:left="360" w:hanging="360"/>
                      </w:pPr>
                      <w:r w:rsidRPr="00E715B6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E715B6">
                        <w:rPr>
                          <w:rFonts w:ascii="Symbol" w:hAnsi="Symbol"/>
                        </w:rPr>
                        <w:t></w:t>
                      </w:r>
                      <w:r w:rsidR="00B05A8C" w:rsidRPr="00E715B6">
                        <w:t>eFECS for FEC Coordinators</w:t>
                      </w:r>
                    </w:p>
                    <w:p w:rsidR="00B05A8C" w:rsidRPr="00E715B6" w:rsidRDefault="009009EF" w:rsidP="00473C89">
                      <w:pPr>
                        <w:widowControl w:val="0"/>
                        <w:spacing w:after="0" w:line="240" w:lineRule="auto"/>
                        <w:ind w:left="360" w:hanging="360"/>
                      </w:pPr>
                      <w:r w:rsidRPr="00E715B6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1C1028" w:rsidRPr="00E715B6">
                        <w:rPr>
                          <w:rFonts w:ascii="Symbol" w:hAnsi="Symbol"/>
                        </w:rPr>
                        <w:t></w:t>
                      </w:r>
                      <w:r w:rsidR="00E715B6" w:rsidRPr="00E715B6"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E715B6" w:rsidRPr="00E715B6">
                        <w:t>Faculty Effort and Cost Share, Calculate it Right!</w:t>
                      </w:r>
                    </w:p>
                    <w:p w:rsidR="001C1028" w:rsidRPr="001C1028" w:rsidRDefault="001C1028" w:rsidP="00473C89">
                      <w:pPr>
                        <w:widowControl w:val="0"/>
                        <w:spacing w:after="0" w:line="240" w:lineRule="auto"/>
                        <w:ind w:left="360" w:hanging="360"/>
                      </w:pPr>
                      <w:r w:rsidRPr="00E715B6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E715B6">
                        <w:rPr>
                          <w:rFonts w:ascii="Symbol" w:hAnsi="Symbol"/>
                        </w:rPr>
                        <w:t></w:t>
                      </w:r>
                      <w:r w:rsidR="00E715B6" w:rsidRPr="00E715B6"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E715B6" w:rsidRPr="00E715B6">
                        <w:t>Managing Faculty Effort</w:t>
                      </w:r>
                    </w:p>
                    <w:p w:rsidR="0014381C" w:rsidRPr="00897AEE" w:rsidRDefault="0014381C" w:rsidP="001C1028">
                      <w:pPr>
                        <w:widowControl w:val="0"/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14381C" w:rsidRPr="00D02B8E" w:rsidRDefault="0014381C" w:rsidP="00473C89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sz w:val="2"/>
                        </w:rPr>
                      </w:pPr>
                    </w:p>
                    <w:p w:rsidR="005703B4" w:rsidRPr="00897AEE" w:rsidRDefault="005703B4" w:rsidP="00473C89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sz w:val="10"/>
                        </w:rPr>
                      </w:pPr>
                    </w:p>
                    <w:p w:rsidR="00897AEE" w:rsidRPr="00897AEE" w:rsidRDefault="00897AEE" w:rsidP="00473C89">
                      <w:pPr>
                        <w:pStyle w:val="msobodytext4"/>
                        <w:widowControl w:val="0"/>
                        <w:spacing w:line="240" w:lineRule="auto"/>
                        <w:rPr>
                          <w:sz w:val="18"/>
                          <w:szCs w:val="22"/>
                          <w14:ligatures w14:val="none"/>
                        </w:rPr>
                      </w:pPr>
                      <w:r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Registration opens the middle of the month prior to the class date. </w:t>
                      </w:r>
                    </w:p>
                    <w:p w:rsidR="0014381C" w:rsidRPr="00897AEE" w:rsidRDefault="00897AEE" w:rsidP="00473C89">
                      <w:pPr>
                        <w:pStyle w:val="msobodytext4"/>
                        <w:widowControl w:val="0"/>
                        <w:spacing w:line="240" w:lineRule="auto"/>
                        <w:rPr>
                          <w:i w:val="0"/>
                          <w:iCs w:val="0"/>
                          <w:sz w:val="18"/>
                          <w:szCs w:val="22"/>
                          <w14:ligatures w14:val="none"/>
                        </w:rPr>
                      </w:pPr>
                      <w:r>
                        <w:rPr>
                          <w:szCs w:val="22"/>
                          <w14:ligatures w14:val="none"/>
                        </w:rPr>
                        <w:t xml:space="preserve">Sign up for Alerts or </w:t>
                      </w:r>
                      <w:r w:rsidR="0014381C"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</w:p>
                    <w:p w:rsidR="0014381C" w:rsidRPr="002D51FC" w:rsidRDefault="0014381C" w:rsidP="0014381C">
                      <w:pPr>
                        <w:widowControl w:val="0"/>
                        <w:rPr>
                          <w:i/>
                          <w:sz w:val="20"/>
                          <w:szCs w:val="20"/>
                        </w:rPr>
                      </w:pPr>
                      <w:r w:rsidRPr="002D51FC">
                        <w:rPr>
                          <w:i/>
                          <w:sz w:val="20"/>
                          <w:szCs w:val="20"/>
                        </w:rPr>
                        <w:t> </w:t>
                      </w:r>
                      <w:hyperlink r:id="rId12" w:history="1">
                        <w:r w:rsidR="002D51FC" w:rsidRPr="002D51F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http://www.washington.edu/research/learning</w:t>
                        </w:r>
                      </w:hyperlink>
                    </w:p>
                    <w:p w:rsidR="002D51FC" w:rsidRDefault="002D51FC" w:rsidP="0014381C">
                      <w:pPr>
                        <w:widowControl w:val="0"/>
                        <w:rPr>
                          <w:sz w:val="21"/>
                        </w:rPr>
                      </w:pP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C450F" wp14:editId="76120A97">
                <wp:simplePos x="0" y="0"/>
                <wp:positionH relativeFrom="column">
                  <wp:posOffset>3522980</wp:posOffset>
                </wp:positionH>
                <wp:positionV relativeFrom="paragraph">
                  <wp:posOffset>196578</wp:posOffset>
                </wp:positionV>
                <wp:extent cx="3291840" cy="4011295"/>
                <wp:effectExtent l="0" t="0" r="381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01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24" w:rsidRPr="00F07850" w:rsidRDefault="002D51FC" w:rsidP="00620D54">
                            <w:pPr>
                              <w:pStyle w:val="ListParagraph"/>
                              <w:spacing w:after="360" w:line="240" w:lineRule="auto"/>
                              <w:ind w:left="0"/>
                            </w:pPr>
                            <w:r>
                              <w:t>MAA offers a</w:t>
                            </w:r>
                            <w:r w:rsidRPr="002D51FC">
                              <w:t xml:space="preserve"> </w:t>
                            </w:r>
                            <w:hyperlink r:id="rId13" w:history="1">
                              <w:r w:rsidRPr="00E715B6">
                                <w:rPr>
                                  <w:rStyle w:val="Hyperlink"/>
                                </w:rPr>
                                <w:t>calculator</w:t>
                              </w:r>
                            </w:hyperlink>
                            <w:r w:rsidRPr="002D51FC">
                              <w:t xml:space="preserve"> </w:t>
                            </w:r>
                            <w:r>
                              <w:t xml:space="preserve">that </w:t>
                            </w:r>
                            <w:r w:rsidRPr="002D51FC">
                              <w:t xml:space="preserve">enables departments to determine the correct percentage of dollars to place in the proposal and </w:t>
                            </w:r>
                            <w:r w:rsidR="00D87E6C">
                              <w:t xml:space="preserve">in </w:t>
                            </w:r>
                            <w:r w:rsidRPr="002D51FC">
                              <w:t xml:space="preserve">OPUS when a faculty member's </w:t>
                            </w:r>
                            <w:r w:rsidR="00D87E6C">
                              <w:t>IBS</w:t>
                            </w:r>
                            <w:r w:rsidRPr="002D51FC">
                              <w:t xml:space="preserve"> includes ADS and/or ENS. </w:t>
                            </w:r>
                            <w:r w:rsidR="00F113FB">
                              <w:t>The tool</w:t>
                            </w:r>
                            <w:r w:rsidRPr="002D51FC">
                              <w:t xml:space="preserve"> als</w:t>
                            </w:r>
                            <w:bookmarkStart w:id="0" w:name="_GoBack"/>
                            <w:bookmarkEnd w:id="0"/>
                            <w:r w:rsidRPr="002D51FC">
                              <w:t>o includes a salary cap calculator.</w:t>
                            </w:r>
                          </w:p>
                          <w:p w:rsidR="00950924" w:rsidRPr="006547FC" w:rsidRDefault="00950924" w:rsidP="00620D54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47F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OSETs Post</w:t>
                            </w:r>
                            <w:r w:rsidR="006547FC" w:rsidRPr="006547F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eFEC</w:t>
                            </w:r>
                            <w:r w:rsidR="00D0390D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6547F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Next </w:t>
                            </w:r>
                            <w:r w:rsidR="006547F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Business</w:t>
                            </w:r>
                            <w:r w:rsidRPr="006547F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Day</w:t>
                            </w:r>
                          </w:p>
                          <w:p w:rsidR="00620D54" w:rsidRDefault="006547FC" w:rsidP="008136E6">
                            <w:pPr>
                              <w:spacing w:before="120" w:after="120" w:line="240" w:lineRule="auto"/>
                            </w:pPr>
                            <w:r>
                              <w:t xml:space="preserve">Online Salary Expense Transfers </w:t>
                            </w:r>
                            <w:r w:rsidR="00D51761">
                              <w:t xml:space="preserve">(OSETs) </w:t>
                            </w:r>
                            <w:r>
                              <w:t xml:space="preserve">processed via </w:t>
                            </w:r>
                            <w:proofErr w:type="spellStart"/>
                            <w:r>
                              <w:t>MyFinancial.Desktop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MyFD</w:t>
                            </w:r>
                            <w:proofErr w:type="spellEnd"/>
                            <w:r>
                              <w:t>) are reflected on the online FEC the ne</w:t>
                            </w:r>
                            <w:r w:rsidR="00D51761">
                              <w:t>x</w:t>
                            </w:r>
                            <w:r>
                              <w:t xml:space="preserve">t business day after posting in </w:t>
                            </w:r>
                            <w:proofErr w:type="spellStart"/>
                            <w:r>
                              <w:t>MyFD</w:t>
                            </w:r>
                            <w:proofErr w:type="spellEnd"/>
                            <w:r>
                              <w:t>.</w:t>
                            </w:r>
                            <w:r w:rsidR="00620D54">
                              <w:t xml:space="preserve"> When an OSET is submitted after 4 pm, it will appear in the eFECS system in 2 business days. </w:t>
                            </w:r>
                            <w:r w:rsidR="00D51761">
                              <w:t xml:space="preserve">The departmental FEC coordinator needs to verify that the salary transfer has been posted </w:t>
                            </w:r>
                            <w:r w:rsidR="00D55E9E">
                              <w:t xml:space="preserve">and review the updated FEC in eFECS </w:t>
                            </w:r>
                            <w:r w:rsidR="00D51761">
                              <w:t xml:space="preserve">before the effort report </w:t>
                            </w:r>
                            <w:r w:rsidR="00D55E9E">
                              <w:t>can be</w:t>
                            </w:r>
                            <w:r w:rsidR="00D51761">
                              <w:t xml:space="preserve"> certified</w:t>
                            </w:r>
                            <w:r w:rsidR="00620D54">
                              <w:t xml:space="preserve">. Otherwise, the certified FEC will not include the OSET and </w:t>
                            </w:r>
                            <w:r w:rsidR="00D55E9E">
                              <w:t xml:space="preserve">the will need to be </w:t>
                            </w:r>
                            <w:r w:rsidR="00620D54">
                              <w:t>recertifi</w:t>
                            </w:r>
                            <w:r w:rsidR="00D55E9E">
                              <w:t>ed.</w:t>
                            </w:r>
                            <w:r w:rsidR="00620D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4pt;margin-top:15.5pt;width:259.2pt;height:3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" stroked="f">
                <v:textbox>
                  <w:txbxContent>
                    <w:p w:rsidR="00950924" w:rsidRPr="00F07850" w:rsidRDefault="002D51FC" w:rsidP="00620D54">
                      <w:pPr>
                        <w:pStyle w:val="ListParagraph"/>
                        <w:spacing w:after="360" w:line="240" w:lineRule="auto"/>
                        <w:ind w:left="0"/>
                      </w:pPr>
                      <w:r>
                        <w:t>MAA offers a</w:t>
                      </w:r>
                      <w:r w:rsidRPr="002D51FC">
                        <w:t xml:space="preserve"> </w:t>
                      </w:r>
                      <w:hyperlink r:id="rId14" w:history="1">
                        <w:r w:rsidRPr="00E715B6">
                          <w:rPr>
                            <w:rStyle w:val="Hyperlink"/>
                          </w:rPr>
                          <w:t>calculator</w:t>
                        </w:r>
                      </w:hyperlink>
                      <w:r w:rsidRPr="002D51FC">
                        <w:t xml:space="preserve"> </w:t>
                      </w:r>
                      <w:r>
                        <w:t xml:space="preserve">that </w:t>
                      </w:r>
                      <w:r w:rsidRPr="002D51FC">
                        <w:t xml:space="preserve">enables departments to determine the correct percentage of dollars to place in the proposal and </w:t>
                      </w:r>
                      <w:r w:rsidR="00D87E6C">
                        <w:t xml:space="preserve">in </w:t>
                      </w:r>
                      <w:r w:rsidRPr="002D51FC">
                        <w:t xml:space="preserve">OPUS when a faculty member's </w:t>
                      </w:r>
                      <w:r w:rsidR="00D87E6C">
                        <w:t>IBS</w:t>
                      </w:r>
                      <w:r w:rsidRPr="002D51FC">
                        <w:t xml:space="preserve"> includes ADS and/or ENS. </w:t>
                      </w:r>
                      <w:r w:rsidR="00F113FB">
                        <w:t>The tool</w:t>
                      </w:r>
                      <w:r w:rsidRPr="002D51FC">
                        <w:t xml:space="preserve"> als</w:t>
                      </w:r>
                      <w:bookmarkStart w:id="1" w:name="_GoBack"/>
                      <w:bookmarkEnd w:id="1"/>
                      <w:r w:rsidRPr="002D51FC">
                        <w:t>o includes a salary cap calculator.</w:t>
                      </w:r>
                    </w:p>
                    <w:p w:rsidR="00950924" w:rsidRPr="006547FC" w:rsidRDefault="00950924" w:rsidP="00620D54">
                      <w:pPr>
                        <w:spacing w:after="120" w:line="240" w:lineRule="auto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6547F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OSETs Post</w:t>
                      </w:r>
                      <w:r w:rsidR="006547FC" w:rsidRPr="006547F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in eFEC</w:t>
                      </w:r>
                      <w:r w:rsidR="00D0390D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6547F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Next </w:t>
                      </w:r>
                      <w:r w:rsidR="006547F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Business</w:t>
                      </w:r>
                      <w:r w:rsidRPr="006547FC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Day</w:t>
                      </w:r>
                    </w:p>
                    <w:p w:rsidR="00620D54" w:rsidRDefault="006547FC" w:rsidP="008136E6">
                      <w:pPr>
                        <w:spacing w:before="120" w:after="120" w:line="240" w:lineRule="auto"/>
                      </w:pPr>
                      <w:r>
                        <w:t xml:space="preserve">Online Salary Expense Transfers </w:t>
                      </w:r>
                      <w:r w:rsidR="00D51761">
                        <w:t xml:space="preserve">(OSETs) </w:t>
                      </w:r>
                      <w:r>
                        <w:t xml:space="preserve">processed via </w:t>
                      </w:r>
                      <w:proofErr w:type="spellStart"/>
                      <w:r>
                        <w:t>MyFinancial.Desktop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MyFD</w:t>
                      </w:r>
                      <w:proofErr w:type="spellEnd"/>
                      <w:r>
                        <w:t>) are reflected on the online FEC the ne</w:t>
                      </w:r>
                      <w:r w:rsidR="00D51761">
                        <w:t>x</w:t>
                      </w:r>
                      <w:r>
                        <w:t xml:space="preserve">t business day after posting in </w:t>
                      </w:r>
                      <w:proofErr w:type="spellStart"/>
                      <w:r>
                        <w:t>MyFD</w:t>
                      </w:r>
                      <w:proofErr w:type="spellEnd"/>
                      <w:r>
                        <w:t>.</w:t>
                      </w:r>
                      <w:r w:rsidR="00620D54">
                        <w:t xml:space="preserve"> When an OSET is submitted after 4 pm, it will appear in the eFECS system in 2 business days. </w:t>
                      </w:r>
                      <w:r w:rsidR="00D51761">
                        <w:t xml:space="preserve">The departmental FEC coordinator needs to verify that the salary transfer has been posted </w:t>
                      </w:r>
                      <w:r w:rsidR="00D55E9E">
                        <w:t xml:space="preserve">and review the updated FEC in eFECS </w:t>
                      </w:r>
                      <w:r w:rsidR="00D51761">
                        <w:t xml:space="preserve">before the effort report </w:t>
                      </w:r>
                      <w:r w:rsidR="00D55E9E">
                        <w:t>can be</w:t>
                      </w:r>
                      <w:r w:rsidR="00D51761">
                        <w:t xml:space="preserve"> certified</w:t>
                      </w:r>
                      <w:r w:rsidR="00620D54">
                        <w:t xml:space="preserve">. Otherwise, the certified FEC will not include the OSET and </w:t>
                      </w:r>
                      <w:r w:rsidR="00D55E9E">
                        <w:t xml:space="preserve">the will need to be </w:t>
                      </w:r>
                      <w:r w:rsidR="00620D54">
                        <w:t>recertifi</w:t>
                      </w:r>
                      <w:r w:rsidR="00D55E9E">
                        <w:t>ed.</w:t>
                      </w:r>
                      <w:r w:rsidR="00620D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F30325" w:rsidP="00F30325">
      <w:pPr>
        <w:rPr>
          <w:noProof/>
        </w:rPr>
      </w:pPr>
    </w:p>
    <w:p w:rsidR="00044095" w:rsidRDefault="00044095" w:rsidP="00F30325">
      <w:pPr>
        <w:rPr>
          <w:noProof/>
        </w:rPr>
      </w:pPr>
    </w:p>
    <w:p w:rsidR="00CB1202" w:rsidRDefault="00D0390D" w:rsidP="00F30325">
      <w:pPr>
        <w:rPr>
          <w:noProof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07629" wp14:editId="0211DBFD">
                <wp:simplePos x="0" y="0"/>
                <wp:positionH relativeFrom="column">
                  <wp:posOffset>-18143</wp:posOffset>
                </wp:positionH>
                <wp:positionV relativeFrom="paragraph">
                  <wp:posOffset>186871</wp:posOffset>
                </wp:positionV>
                <wp:extent cx="3180262" cy="2220686"/>
                <wp:effectExtent l="0" t="0" r="20320" b="27305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262" cy="2220686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-1.45pt;margin-top:14.7pt;width:250.4pt;height:17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0262,222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" path="m,1110343c,497117,711926,,1590131,l3180262,r,1110343c3180262,1723569,2468336,2220686,1590131,2220686,711926,2220686,,1723569,,1110343xe" filled="f" strokecolor="#943634 [2405]" strokeweight="2pt">
                <v:path arrowok="t" o:connecttype="custom" o:connectlocs="0,1110343;1590131,0;3180262,0;3180262,1110343;1590131,2220686;0,1110343" o:connectangles="0,0,0,0,0,0"/>
              </v:shape>
            </w:pict>
          </mc:Fallback>
        </mc:AlternateContent>
      </w:r>
    </w:p>
    <w:p w:rsidR="007F5775" w:rsidRDefault="00D0390D" w:rsidP="00F30325">
      <w:pPr>
        <w:rPr>
          <w:noProof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F1D0C" wp14:editId="234A2203">
                <wp:simplePos x="0" y="0"/>
                <wp:positionH relativeFrom="column">
                  <wp:posOffset>881743</wp:posOffset>
                </wp:positionH>
                <wp:positionV relativeFrom="paragraph">
                  <wp:posOffset>1542</wp:posOffset>
                </wp:positionV>
                <wp:extent cx="2155371" cy="182054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371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9" w:rsidRDefault="00950924" w:rsidP="00950924">
                            <w:pPr>
                              <w:spacing w:line="240" w:lineRule="auto"/>
                            </w:pPr>
                            <w:r>
                              <w:t>FEC’s for the period of 9/16/2014 – 3/15/2015 were</w:t>
                            </w:r>
                            <w:r w:rsidR="00D0390D">
                              <w:t xml:space="preserve"> </w:t>
                            </w:r>
                            <w:r>
                              <w:t>released. For this cycle, the Executive Level 2 salary cap amount is 182,400 (an average of the old</w:t>
                            </w:r>
                            <w:r w:rsidR="00D0390D">
                              <w:t xml:space="preserve"> $181,500</w:t>
                            </w:r>
                            <w:r>
                              <w:t xml:space="preserve"> and </w:t>
                            </w:r>
                            <w:r w:rsidR="006547FC">
                              <w:t xml:space="preserve">the </w:t>
                            </w:r>
                            <w:r>
                              <w:t>new</w:t>
                            </w:r>
                            <w:r w:rsidR="00D0390D">
                              <w:t xml:space="preserve"> $183,300</w:t>
                            </w:r>
                            <w:r>
                              <w:t>)</w:t>
                            </w:r>
                            <w:r w:rsidR="00D0390D">
                              <w:t>.</w:t>
                            </w:r>
                            <w:r>
                              <w:t xml:space="preserve"> All future </w:t>
                            </w:r>
                            <w:r w:rsidR="006547FC">
                              <w:t>FEC</w:t>
                            </w:r>
                            <w:r>
                              <w:t xml:space="preserve"> cycles will be at the full $183,300. There is no change to</w:t>
                            </w:r>
                            <w:r w:rsidR="00D55E9E">
                              <w:t xml:space="preserve"> the</w:t>
                            </w:r>
                            <w:r>
                              <w:t xml:space="preserve"> E</w:t>
                            </w:r>
                            <w:r w:rsidR="00D55E9E">
                              <w:t xml:space="preserve">xecutive </w:t>
                            </w:r>
                            <w:r>
                              <w:t>L</w:t>
                            </w:r>
                            <w:r w:rsidR="00D55E9E">
                              <w:t xml:space="preserve">evel </w:t>
                            </w:r>
                            <w:r>
                              <w:t>1 salary cap:</w:t>
                            </w:r>
                            <w:r w:rsidR="00D55E9E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620D54">
                              <w:t xml:space="preserve">it stays at </w:t>
                            </w:r>
                            <w:r>
                              <w:t>$201,700</w:t>
                            </w:r>
                            <w:r w:rsidR="00620D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45pt;margin-top:.1pt;width:169.7pt;height:1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" stroked="f">
                <v:textbox>
                  <w:txbxContent>
                    <w:p w:rsidR="00473C89" w:rsidRDefault="00950924" w:rsidP="00950924">
                      <w:pPr>
                        <w:spacing w:line="240" w:lineRule="auto"/>
                      </w:pPr>
                      <w:r>
                        <w:t>FEC’s for the period of 9/16/2014 – 3/15/2015 were</w:t>
                      </w:r>
                      <w:r w:rsidR="00D0390D">
                        <w:t xml:space="preserve"> </w:t>
                      </w:r>
                      <w:r>
                        <w:t xml:space="preserve">released. </w:t>
                      </w:r>
                      <w:r>
                        <w:t xml:space="preserve">For </w:t>
                      </w:r>
                      <w:r>
                        <w:t>this</w:t>
                      </w:r>
                      <w:r>
                        <w:t xml:space="preserve"> cycle, the Ex</w:t>
                      </w:r>
                      <w:r>
                        <w:t>ecutive</w:t>
                      </w:r>
                      <w:r>
                        <w:t xml:space="preserve"> Level 2 </w:t>
                      </w:r>
                      <w:r>
                        <w:t xml:space="preserve">salary </w:t>
                      </w:r>
                      <w:r>
                        <w:t>cap amount is 182,400 (an average of the old</w:t>
                      </w:r>
                      <w:r w:rsidR="00D0390D">
                        <w:t xml:space="preserve"> $181,500</w:t>
                      </w:r>
                      <w:r>
                        <w:t xml:space="preserve"> and </w:t>
                      </w:r>
                      <w:r w:rsidR="006547FC">
                        <w:t xml:space="preserve">the </w:t>
                      </w:r>
                      <w:r>
                        <w:t>new</w:t>
                      </w:r>
                      <w:r w:rsidR="00D0390D">
                        <w:t xml:space="preserve"> $183,300</w:t>
                      </w:r>
                      <w:r>
                        <w:t>)</w:t>
                      </w:r>
                      <w:r w:rsidR="00D0390D">
                        <w:t>.</w:t>
                      </w:r>
                      <w:r>
                        <w:t xml:space="preserve"> </w:t>
                      </w:r>
                      <w:r>
                        <w:t xml:space="preserve">All future </w:t>
                      </w:r>
                      <w:r w:rsidR="006547FC">
                        <w:t>FEC</w:t>
                      </w:r>
                      <w:r>
                        <w:t xml:space="preserve"> cycles will be at the full $183,300</w:t>
                      </w:r>
                      <w:r>
                        <w:t xml:space="preserve">. </w:t>
                      </w:r>
                      <w:r>
                        <w:t>There is no change to</w:t>
                      </w:r>
                      <w:r w:rsidR="00D55E9E">
                        <w:t xml:space="preserve"> the</w:t>
                      </w:r>
                      <w:r>
                        <w:t xml:space="preserve"> </w:t>
                      </w:r>
                      <w:r>
                        <w:t>E</w:t>
                      </w:r>
                      <w:r w:rsidR="00D55E9E">
                        <w:t xml:space="preserve">xecutive </w:t>
                      </w:r>
                      <w:r>
                        <w:t>L</w:t>
                      </w:r>
                      <w:r w:rsidR="00D55E9E">
                        <w:t xml:space="preserve">evel </w:t>
                      </w:r>
                      <w:r>
                        <w:t xml:space="preserve">1 </w:t>
                      </w:r>
                      <w:r>
                        <w:t>salary cap:</w:t>
                      </w:r>
                      <w:r w:rsidR="00D55E9E">
                        <w:t xml:space="preserve">        </w:t>
                      </w:r>
                      <w:r>
                        <w:t xml:space="preserve"> </w:t>
                      </w:r>
                      <w:r w:rsidR="00620D54">
                        <w:t xml:space="preserve">it stays at </w:t>
                      </w:r>
                      <w:r>
                        <w:t>$201,700</w:t>
                      </w:r>
                      <w:r w:rsidR="00620D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7A9F" w:rsidRPr="00F30325" w:rsidRDefault="00C500A4" w:rsidP="006E51C2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3567E" wp14:editId="5DFA0620">
                <wp:simplePos x="0" y="0"/>
                <wp:positionH relativeFrom="column">
                  <wp:posOffset>3660775</wp:posOffset>
                </wp:positionH>
                <wp:positionV relativeFrom="paragraph">
                  <wp:posOffset>807357</wp:posOffset>
                </wp:positionV>
                <wp:extent cx="2807970" cy="715010"/>
                <wp:effectExtent l="0" t="0" r="1143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15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0A4" w:rsidRPr="00D02B8E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</w:pPr>
                            <w:r w:rsidRPr="00D02B8E"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  <w:t xml:space="preserve">Do you have questions or want someone to call you?                  </w:t>
                            </w:r>
                          </w:p>
                          <w:p w:rsidR="0014381C" w:rsidRPr="00D02B8E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</w:pPr>
                            <w:r w:rsidRPr="00D02B8E">
                              <w:rPr>
                                <w:rFonts w:ascii="Verdana" w:hAnsi="Verdana"/>
                                <w:i/>
                                <w:sz w:val="18"/>
                                <w14:ligatures w14:val="none"/>
                              </w:rPr>
                              <w:t xml:space="preserve">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25pt;margin-top:63.55pt;width:221.1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" fillcolor="white [3201]" strokecolor="#f5c159" strokeweight="2pt">
                <v:textbox>
                  <w:txbxContent>
                    <w:p w:rsidR="00C500A4" w:rsidRPr="00D02B8E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</w:pPr>
                      <w:r w:rsidRPr="00D02B8E"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  <w:t xml:space="preserve">Do you have questions or want someone to call you?                  </w:t>
                      </w:r>
                    </w:p>
                    <w:p w:rsidR="0014381C" w:rsidRPr="00D02B8E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</w:pPr>
                      <w:r w:rsidRPr="00D02B8E">
                        <w:rPr>
                          <w:rFonts w:ascii="Verdana" w:hAnsi="Verdana"/>
                          <w:i/>
                          <w:sz w:val="18"/>
                          <w14:ligatures w14:val="none"/>
                        </w:rPr>
                        <w:t xml:space="preserve">  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E4064E" w:rsidRPr="00F30325">
        <w:rPr>
          <w:noProof/>
        </w:rPr>
        <w:drawing>
          <wp:inline distT="0" distB="0" distL="0" distR="0" wp14:anchorId="1DC413B7" wp14:editId="06351A97">
            <wp:extent cx="879882" cy="870857"/>
            <wp:effectExtent l="0" t="0" r="0" b="5715"/>
            <wp:docPr id="15" name="Picture 2" descr="C:\Users\suzette\AppData\Local\Microsoft\Windows\Temporary Internet Files\Content.IE5\87QDL50I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zette\AppData\Local\Microsoft\Windows\Temporary Internet Files\Content.IE5\87QDL50I\MC90044203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3" cy="871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07A9F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2B5A"/>
    <w:multiLevelType w:val="hybridMultilevel"/>
    <w:tmpl w:val="8AF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65B07"/>
    <w:multiLevelType w:val="hybridMultilevel"/>
    <w:tmpl w:val="34E80BF8"/>
    <w:lvl w:ilvl="0" w:tplc="DA4E615A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1A49A6"/>
    <w:multiLevelType w:val="hybridMultilevel"/>
    <w:tmpl w:val="78C6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0402E6"/>
    <w:rsid w:val="00044095"/>
    <w:rsid w:val="0014381C"/>
    <w:rsid w:val="001C1028"/>
    <w:rsid w:val="00212B4A"/>
    <w:rsid w:val="00226063"/>
    <w:rsid w:val="00236360"/>
    <w:rsid w:val="0027720F"/>
    <w:rsid w:val="00286054"/>
    <w:rsid w:val="002923B0"/>
    <w:rsid w:val="002B7D28"/>
    <w:rsid w:val="002D51FC"/>
    <w:rsid w:val="003431BF"/>
    <w:rsid w:val="00412A16"/>
    <w:rsid w:val="00420A38"/>
    <w:rsid w:val="00473C89"/>
    <w:rsid w:val="004E0890"/>
    <w:rsid w:val="004E7D6C"/>
    <w:rsid w:val="00503D7E"/>
    <w:rsid w:val="00515078"/>
    <w:rsid w:val="005703B4"/>
    <w:rsid w:val="00581381"/>
    <w:rsid w:val="00620D54"/>
    <w:rsid w:val="006547FC"/>
    <w:rsid w:val="006B15CD"/>
    <w:rsid w:val="006D6942"/>
    <w:rsid w:val="006E51C2"/>
    <w:rsid w:val="0070251E"/>
    <w:rsid w:val="00766F29"/>
    <w:rsid w:val="007A7F58"/>
    <w:rsid w:val="007D406E"/>
    <w:rsid w:val="007F5775"/>
    <w:rsid w:val="00807A9F"/>
    <w:rsid w:val="008136E6"/>
    <w:rsid w:val="00897AEE"/>
    <w:rsid w:val="009009EF"/>
    <w:rsid w:val="00950924"/>
    <w:rsid w:val="00983910"/>
    <w:rsid w:val="009A4CCC"/>
    <w:rsid w:val="009E1B09"/>
    <w:rsid w:val="00A36B72"/>
    <w:rsid w:val="00A7010F"/>
    <w:rsid w:val="00A85EF5"/>
    <w:rsid w:val="00AB633E"/>
    <w:rsid w:val="00AE6D6A"/>
    <w:rsid w:val="00B05A8C"/>
    <w:rsid w:val="00BB711D"/>
    <w:rsid w:val="00C500A4"/>
    <w:rsid w:val="00C5235D"/>
    <w:rsid w:val="00CB1202"/>
    <w:rsid w:val="00CD4B06"/>
    <w:rsid w:val="00D02B8E"/>
    <w:rsid w:val="00D0390D"/>
    <w:rsid w:val="00D51761"/>
    <w:rsid w:val="00D55E9E"/>
    <w:rsid w:val="00D87E6C"/>
    <w:rsid w:val="00D93317"/>
    <w:rsid w:val="00E309A6"/>
    <w:rsid w:val="00E4064E"/>
    <w:rsid w:val="00E46E57"/>
    <w:rsid w:val="00E53FA4"/>
    <w:rsid w:val="00E55046"/>
    <w:rsid w:val="00E715B6"/>
    <w:rsid w:val="00F07850"/>
    <w:rsid w:val="00F113FB"/>
    <w:rsid w:val="00F30325"/>
    <w:rsid w:val="00F93CAB"/>
    <w:rsid w:val="00FA7BE7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51FC"/>
    <w:pPr>
      <w:spacing w:before="360" w:after="12" w:line="240" w:lineRule="auto"/>
      <w:outlineLvl w:val="1"/>
    </w:pPr>
    <w:rPr>
      <w:rFonts w:ascii="Helvetica" w:eastAsia="Times New Roman" w:hAnsi="Helvetica" w:cs="Helvetica"/>
      <w:b/>
      <w:bCs/>
      <w:color w:val="422F6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51FC"/>
    <w:rPr>
      <w:rFonts w:ascii="Helvetica" w:eastAsia="Times New Roman" w:hAnsi="Helvetica" w:cs="Helvetica"/>
      <w:b/>
      <w:bCs/>
      <w:color w:val="422F62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2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2D51F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51FC"/>
    <w:pPr>
      <w:spacing w:before="360" w:after="12" w:line="240" w:lineRule="auto"/>
      <w:outlineLvl w:val="1"/>
    </w:pPr>
    <w:rPr>
      <w:rFonts w:ascii="Helvetica" w:eastAsia="Times New Roman" w:hAnsi="Helvetica" w:cs="Helvetica"/>
      <w:b/>
      <w:bCs/>
      <w:color w:val="422F6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51FC"/>
    <w:rPr>
      <w:rFonts w:ascii="Helvetica" w:eastAsia="Times New Roman" w:hAnsi="Helvetica" w:cs="Helvetica"/>
      <w:b/>
      <w:bCs/>
      <w:color w:val="422F62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2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2D51F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03">
          <w:marLeft w:val="122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26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0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research/learning" TargetMode="External"/><Relationship Id="rId13" Type="http://schemas.openxmlformats.org/officeDocument/2006/relationships/hyperlink" Target="http://f2.washington.edu/fm/maa/sites/default/files/fec/ads-ens-calculator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hington.edu/research/learning" TargetMode="External"/><Relationship Id="rId12" Type="http://schemas.openxmlformats.org/officeDocument/2006/relationships/hyperlink" Target="http://www.washington.edu/research/lear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washington.edu/research/learn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washington.edu/research/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research/learning" TargetMode="External"/><Relationship Id="rId14" Type="http://schemas.openxmlformats.org/officeDocument/2006/relationships/hyperlink" Target="http://f2.washington.edu/fm/maa/sites/default/files/fec/ads-ens-calculato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sr8</cp:lastModifiedBy>
  <cp:revision>2</cp:revision>
  <dcterms:created xsi:type="dcterms:W3CDTF">2015-04-08T16:34:00Z</dcterms:created>
  <dcterms:modified xsi:type="dcterms:W3CDTF">2015-04-08T16:34:00Z</dcterms:modified>
</cp:coreProperties>
</file>